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F7B93" w14:textId="73973D48" w:rsidR="00F77160" w:rsidRDefault="00C6668F">
      <w:r>
        <w:t xml:space="preserve">INTRODUCTION : </w:t>
      </w:r>
      <w:r w:rsidR="00457C20" w:rsidRPr="00457C20">
        <w:t>Triple A (Allgrove) syndrome is a rare inherited disorder in which impaired adrenal steroidogenesis occurs alongside deficient tear secretion and achalasia. In some cases, progressive neurological and autonomic dysfunction is also present, leading to the condition being referred to as AAAA syndrome. This case series aims to present four cases of Triple A syndrome in order to increase awareness of this rare condition in the Indian setting, with emphasis on its phenotypic heterogeneity, diagnostic approaches, management strategies, and the significance of genetic testing. Since its first description in 1978, only a limited number of cases—fewer than a few hundred—have been reported worldwide, underscoring the rarity of this condition.</w:t>
      </w:r>
    </w:p>
    <w:p w14:paraId="601A7BE3" w14:textId="77777777" w:rsidR="00C6668F" w:rsidRDefault="00C6668F"/>
    <w:p w14:paraId="3523DA9E" w14:textId="6014CE70" w:rsidR="00D533C7" w:rsidRDefault="00D533C7" w:rsidP="00D533C7">
      <w:pPr>
        <w:rPr>
          <w:lang w:val="en-US"/>
        </w:rPr>
      </w:pPr>
      <w:r w:rsidRPr="008549BB">
        <w:rPr>
          <w:lang w:val="en-US"/>
        </w:rPr>
        <w:t xml:space="preserve">CASES: Case 1 is a 6-year-old girl admitted </w:t>
      </w:r>
      <w:r>
        <w:rPr>
          <w:lang w:val="en-US"/>
        </w:rPr>
        <w:t xml:space="preserve">with </w:t>
      </w:r>
      <w:r w:rsidRPr="008549BB">
        <w:rPr>
          <w:lang w:val="en-US"/>
        </w:rPr>
        <w:t xml:space="preserve">hypovolemic shock </w:t>
      </w:r>
      <w:r>
        <w:rPr>
          <w:lang w:val="en-US"/>
        </w:rPr>
        <w:t xml:space="preserve">and hypoglycemic convulsion </w:t>
      </w:r>
      <w:r w:rsidRPr="008549BB">
        <w:rPr>
          <w:lang w:val="en-US"/>
        </w:rPr>
        <w:t>with a history of alacrimia and achalasia</w:t>
      </w:r>
      <w:r>
        <w:rPr>
          <w:lang w:val="en-US"/>
        </w:rPr>
        <w:t xml:space="preserve"> on probing</w:t>
      </w:r>
      <w:r w:rsidRPr="008549BB">
        <w:rPr>
          <w:lang w:val="en-US"/>
        </w:rPr>
        <w:t xml:space="preserve">. </w:t>
      </w:r>
      <w:r>
        <w:rPr>
          <w:lang w:val="en-US"/>
        </w:rPr>
        <w:t xml:space="preserve">On examination, spastic diplegia was </w:t>
      </w:r>
      <w:proofErr w:type="gramStart"/>
      <w:r>
        <w:rPr>
          <w:lang w:val="en-US"/>
        </w:rPr>
        <w:t>present ,</w:t>
      </w:r>
      <w:proofErr w:type="gramEnd"/>
      <w:r>
        <w:rPr>
          <w:lang w:val="en-US"/>
        </w:rPr>
        <w:t xml:space="preserve"> MRI Brain showed </w:t>
      </w:r>
      <w:proofErr w:type="spellStart"/>
      <w:r w:rsidRPr="0087783E">
        <w:rPr>
          <w:lang w:val="en-US"/>
        </w:rPr>
        <w:t>b/l</w:t>
      </w:r>
      <w:proofErr w:type="spellEnd"/>
      <w:r w:rsidRPr="0087783E">
        <w:rPr>
          <w:lang w:val="en-US"/>
        </w:rPr>
        <w:t xml:space="preserve"> choroid plexus </w:t>
      </w:r>
      <w:proofErr w:type="spellStart"/>
      <w:r w:rsidRPr="0087783E">
        <w:rPr>
          <w:lang w:val="en-US"/>
        </w:rPr>
        <w:t>xanthogranuloma</w:t>
      </w:r>
      <w:proofErr w:type="spellEnd"/>
      <w:r>
        <w:rPr>
          <w:lang w:val="en-US"/>
        </w:rPr>
        <w:t xml:space="preserve">. (Figure </w:t>
      </w:r>
      <w:proofErr w:type="gramStart"/>
      <w:r>
        <w:rPr>
          <w:lang w:val="en-US"/>
        </w:rPr>
        <w:t>1)</w:t>
      </w:r>
      <w:r w:rsidR="00A4153F">
        <w:rPr>
          <w:lang w:val="en-US"/>
        </w:rPr>
        <w:t>(</w:t>
      </w:r>
      <w:proofErr w:type="gramEnd"/>
      <w:r w:rsidR="00A4153F">
        <w:rPr>
          <w:lang w:val="en-US"/>
        </w:rPr>
        <w:t>Figure 4)</w:t>
      </w:r>
    </w:p>
    <w:p w14:paraId="3B86BD95" w14:textId="77777777" w:rsidR="00D533C7" w:rsidRDefault="00D533C7" w:rsidP="00D533C7">
      <w:pPr>
        <w:rPr>
          <w:lang w:val="en-US"/>
        </w:rPr>
      </w:pPr>
      <w:r w:rsidRPr="008549BB">
        <w:rPr>
          <w:lang w:val="en-US"/>
        </w:rPr>
        <w:t xml:space="preserve">Case 2 is a </w:t>
      </w:r>
      <w:r>
        <w:rPr>
          <w:lang w:val="en-US"/>
        </w:rPr>
        <w:t>9</w:t>
      </w:r>
      <w:r w:rsidRPr="008549BB">
        <w:rPr>
          <w:lang w:val="en-US"/>
        </w:rPr>
        <w:t xml:space="preserve">-year-old boy </w:t>
      </w:r>
      <w:r>
        <w:rPr>
          <w:lang w:val="en-US"/>
        </w:rPr>
        <w:t>born of 2</w:t>
      </w:r>
      <w:r w:rsidRPr="0087783E">
        <w:rPr>
          <w:vertAlign w:val="superscript"/>
          <w:lang w:val="en-US"/>
        </w:rPr>
        <w:t>nd</w:t>
      </w:r>
      <w:r>
        <w:rPr>
          <w:lang w:val="en-US"/>
        </w:rPr>
        <w:t xml:space="preserve"> degree consanguineous </w:t>
      </w:r>
      <w:proofErr w:type="gramStart"/>
      <w:r>
        <w:rPr>
          <w:lang w:val="en-US"/>
        </w:rPr>
        <w:t>marriage ,</w:t>
      </w:r>
      <w:proofErr w:type="gramEnd"/>
      <w:r>
        <w:rPr>
          <w:lang w:val="en-US"/>
        </w:rPr>
        <w:t xml:space="preserve"> </w:t>
      </w:r>
      <w:r w:rsidRPr="008549BB">
        <w:rPr>
          <w:lang w:val="en-US"/>
        </w:rPr>
        <w:t xml:space="preserve">who presented with </w:t>
      </w:r>
      <w:r>
        <w:rPr>
          <w:lang w:val="en-US"/>
        </w:rPr>
        <w:t xml:space="preserve">similar complaints </w:t>
      </w:r>
      <w:r w:rsidRPr="008549BB">
        <w:rPr>
          <w:lang w:val="en-US"/>
        </w:rPr>
        <w:t xml:space="preserve">following just 1 episode of </w:t>
      </w:r>
      <w:r>
        <w:rPr>
          <w:lang w:val="en-US"/>
        </w:rPr>
        <w:t xml:space="preserve">acute </w:t>
      </w:r>
      <w:proofErr w:type="gramStart"/>
      <w:r>
        <w:rPr>
          <w:lang w:val="en-US"/>
        </w:rPr>
        <w:t xml:space="preserve">gastroenteritis </w:t>
      </w:r>
      <w:r w:rsidRPr="008549BB">
        <w:rPr>
          <w:lang w:val="en-US"/>
        </w:rPr>
        <w:t>;</w:t>
      </w:r>
      <w:proofErr w:type="gramEnd"/>
      <w:r w:rsidRPr="008549BB">
        <w:rPr>
          <w:lang w:val="en-US"/>
        </w:rPr>
        <w:t xml:space="preserve"> examination revealed hyperpigmentation. </w:t>
      </w:r>
    </w:p>
    <w:p w14:paraId="3B23E355" w14:textId="77777777" w:rsidR="00D533C7" w:rsidRDefault="00D533C7" w:rsidP="00D533C7">
      <w:pPr>
        <w:rPr>
          <w:lang w:val="en-US"/>
        </w:rPr>
      </w:pPr>
      <w:r w:rsidRPr="008549BB">
        <w:rPr>
          <w:lang w:val="en-US"/>
        </w:rPr>
        <w:t xml:space="preserve">Case 3 is a 7-year-old male child who presented with increased hyperpigmentation </w:t>
      </w:r>
      <w:r>
        <w:rPr>
          <w:lang w:val="en-US"/>
        </w:rPr>
        <w:t xml:space="preserve">of skin, oral mucosa, knuckles, conjunctival xerosis </w:t>
      </w:r>
      <w:r w:rsidRPr="008549BB">
        <w:rPr>
          <w:lang w:val="en-US"/>
        </w:rPr>
        <w:t xml:space="preserve">for 6 </w:t>
      </w:r>
      <w:proofErr w:type="gramStart"/>
      <w:r w:rsidRPr="008549BB">
        <w:rPr>
          <w:lang w:val="en-US"/>
        </w:rPr>
        <w:t>months</w:t>
      </w:r>
      <w:r>
        <w:rPr>
          <w:lang w:val="en-US"/>
        </w:rPr>
        <w:t xml:space="preserve"> ,</w:t>
      </w:r>
      <w:proofErr w:type="gramEnd"/>
      <w:r>
        <w:rPr>
          <w:lang w:val="en-US"/>
        </w:rPr>
        <w:t xml:space="preserve"> also had delayed speech</w:t>
      </w:r>
      <w:r w:rsidRPr="008549BB">
        <w:rPr>
          <w:lang w:val="en-US"/>
        </w:rPr>
        <w:t xml:space="preserve">. </w:t>
      </w:r>
    </w:p>
    <w:p w14:paraId="6AD5046D" w14:textId="59ED5980" w:rsidR="00D533C7" w:rsidRDefault="00D533C7" w:rsidP="00D533C7">
      <w:pPr>
        <w:rPr>
          <w:lang w:val="en-US"/>
        </w:rPr>
      </w:pPr>
      <w:r w:rsidRPr="008549BB">
        <w:rPr>
          <w:lang w:val="en-US"/>
        </w:rPr>
        <w:t xml:space="preserve">Case 4 is a 2.6-year-old boy with </w:t>
      </w:r>
      <w:r>
        <w:rPr>
          <w:lang w:val="en-US"/>
        </w:rPr>
        <w:t xml:space="preserve">history of </w:t>
      </w:r>
      <w:r w:rsidRPr="008549BB">
        <w:rPr>
          <w:lang w:val="en-US"/>
        </w:rPr>
        <w:t xml:space="preserve">midline </w:t>
      </w:r>
      <w:proofErr w:type="gramStart"/>
      <w:r w:rsidRPr="008549BB">
        <w:rPr>
          <w:lang w:val="en-US"/>
        </w:rPr>
        <w:t>defect</w:t>
      </w:r>
      <w:r w:rsidR="001D17E1">
        <w:rPr>
          <w:lang w:val="en-US"/>
        </w:rPr>
        <w:t>(</w:t>
      </w:r>
      <w:proofErr w:type="gramEnd"/>
      <w:r w:rsidR="001D17E1">
        <w:rPr>
          <w:lang w:val="en-US"/>
        </w:rPr>
        <w:t>cleft lip/palate)</w:t>
      </w:r>
      <w:r w:rsidRPr="008549BB">
        <w:rPr>
          <w:lang w:val="en-US"/>
        </w:rPr>
        <w:t xml:space="preserve"> repair; examination showed hyperpigmentation and alacrimia. </w:t>
      </w:r>
    </w:p>
    <w:p w14:paraId="0917AD8E" w14:textId="77777777" w:rsidR="00D533C7" w:rsidRDefault="00D533C7" w:rsidP="00D533C7">
      <w:pPr>
        <w:rPr>
          <w:lang w:val="en-US"/>
        </w:rPr>
      </w:pPr>
    </w:p>
    <w:p w14:paraId="6C69DFE6" w14:textId="77777777" w:rsidR="00D533C7" w:rsidRDefault="00D533C7" w:rsidP="00D533C7">
      <w:pPr>
        <w:rPr>
          <w:lang w:val="en-US"/>
        </w:rPr>
      </w:pPr>
      <w:r w:rsidRPr="008549BB">
        <w:rPr>
          <w:lang w:val="en-US"/>
        </w:rPr>
        <w:t xml:space="preserve">In all these cases, investigations showed low </w:t>
      </w:r>
      <w:proofErr w:type="gramStart"/>
      <w:r w:rsidRPr="008549BB">
        <w:rPr>
          <w:lang w:val="en-US"/>
        </w:rPr>
        <w:t>cortisol</w:t>
      </w:r>
      <w:r>
        <w:rPr>
          <w:lang w:val="en-US"/>
        </w:rPr>
        <w:t>(</w:t>
      </w:r>
      <w:proofErr w:type="gramEnd"/>
      <w:r>
        <w:rPr>
          <w:lang w:val="en-US"/>
        </w:rPr>
        <w:t>0.6-5.7 mcg/dl)</w:t>
      </w:r>
      <w:r w:rsidRPr="008549BB">
        <w:rPr>
          <w:lang w:val="en-US"/>
        </w:rPr>
        <w:t xml:space="preserve"> and high ACTH</w:t>
      </w:r>
      <w:r>
        <w:rPr>
          <w:lang w:val="en-US"/>
        </w:rPr>
        <w:t xml:space="preserve"> ranging from 89 to 1677 </w:t>
      </w:r>
      <w:proofErr w:type="spellStart"/>
      <w:r>
        <w:rPr>
          <w:lang w:val="en-US"/>
        </w:rPr>
        <w:t>pg</w:t>
      </w:r>
      <w:proofErr w:type="spellEnd"/>
      <w:r>
        <w:rPr>
          <w:lang w:val="en-US"/>
        </w:rPr>
        <w:t>/ml.</w:t>
      </w:r>
      <w:r w:rsidRPr="008549BB">
        <w:rPr>
          <w:lang w:val="en-US"/>
        </w:rPr>
        <w:t xml:space="preserve"> </w:t>
      </w:r>
    </w:p>
    <w:p w14:paraId="59CF9F8A" w14:textId="77777777" w:rsidR="00A4153F" w:rsidRDefault="00A4153F" w:rsidP="00D533C7">
      <w:pPr>
        <w:rPr>
          <w:lang w:val="en-US"/>
        </w:rPr>
      </w:pPr>
    </w:p>
    <w:tbl>
      <w:tblPr>
        <w:tblW w:w="6796" w:type="dxa"/>
        <w:tblCellMar>
          <w:left w:w="0" w:type="dxa"/>
          <w:right w:w="0" w:type="dxa"/>
        </w:tblCellMar>
        <w:tblLook w:val="0420" w:firstRow="1" w:lastRow="0" w:firstColumn="0" w:lastColumn="0" w:noHBand="0" w:noVBand="1"/>
      </w:tblPr>
      <w:tblGrid>
        <w:gridCol w:w="2182"/>
        <w:gridCol w:w="1111"/>
        <w:gridCol w:w="1160"/>
        <w:gridCol w:w="1050"/>
        <w:gridCol w:w="1293"/>
      </w:tblGrid>
      <w:tr w:rsidR="00D533C7" w:rsidRPr="00F03F71" w14:paraId="21945637" w14:textId="77777777" w:rsidTr="00520481">
        <w:trPr>
          <w:trHeight w:val="20"/>
        </w:trPr>
        <w:tc>
          <w:tcPr>
            <w:tcW w:w="218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4BF670D" w14:textId="77777777" w:rsidR="00D533C7" w:rsidRPr="00F03F71" w:rsidRDefault="00D533C7" w:rsidP="00520481"/>
        </w:tc>
        <w:tc>
          <w:tcPr>
            <w:tcW w:w="111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DE1382A" w14:textId="77777777" w:rsidR="00D533C7" w:rsidRPr="00F03F71" w:rsidRDefault="00D533C7" w:rsidP="00520481">
            <w:r w:rsidRPr="00F03F71">
              <w:rPr>
                <w:b/>
                <w:bCs/>
                <w:lang w:val="en-US"/>
              </w:rPr>
              <w:t>CASE 1</w:t>
            </w:r>
          </w:p>
        </w:tc>
        <w:tc>
          <w:tcPr>
            <w:tcW w:w="11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4345FF3" w14:textId="77777777" w:rsidR="00D533C7" w:rsidRPr="00F03F71" w:rsidRDefault="00D533C7" w:rsidP="00520481">
            <w:r w:rsidRPr="00F03F71">
              <w:rPr>
                <w:b/>
                <w:bCs/>
                <w:lang w:val="en-US"/>
              </w:rPr>
              <w:t>CASE 2</w:t>
            </w:r>
          </w:p>
        </w:tc>
        <w:tc>
          <w:tcPr>
            <w:tcW w:w="10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851CC0F" w14:textId="77777777" w:rsidR="00D533C7" w:rsidRPr="00F03F71" w:rsidRDefault="00D533C7" w:rsidP="00520481">
            <w:r w:rsidRPr="00F03F71">
              <w:rPr>
                <w:b/>
                <w:bCs/>
                <w:lang w:val="en-US"/>
              </w:rPr>
              <w:t>CASE 3</w:t>
            </w:r>
          </w:p>
        </w:tc>
        <w:tc>
          <w:tcPr>
            <w:tcW w:w="12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50E5309" w14:textId="77777777" w:rsidR="00D533C7" w:rsidRPr="00F03F71" w:rsidRDefault="00D533C7" w:rsidP="00520481">
            <w:r w:rsidRPr="00F03F71">
              <w:rPr>
                <w:b/>
                <w:bCs/>
                <w:lang w:val="en-US"/>
              </w:rPr>
              <w:t>CASE 4</w:t>
            </w:r>
          </w:p>
        </w:tc>
      </w:tr>
      <w:tr w:rsidR="00D533C7" w:rsidRPr="00F03F71" w14:paraId="1CDB8CF3" w14:textId="77777777" w:rsidTr="00520481">
        <w:trPr>
          <w:trHeight w:val="20"/>
        </w:trPr>
        <w:tc>
          <w:tcPr>
            <w:tcW w:w="218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2BC3C91" w14:textId="77777777" w:rsidR="00D533C7" w:rsidRPr="00F03F71" w:rsidRDefault="00D533C7" w:rsidP="00520481">
            <w:r w:rsidRPr="00F03F71">
              <w:rPr>
                <w:lang w:val="en-US"/>
              </w:rPr>
              <w:t>Hyperpigmentation</w:t>
            </w:r>
          </w:p>
        </w:tc>
        <w:tc>
          <w:tcPr>
            <w:tcW w:w="111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A6C768C" w14:textId="77777777" w:rsidR="00D533C7" w:rsidRPr="00F03F71" w:rsidRDefault="00D533C7" w:rsidP="00520481">
            <w:r w:rsidRPr="00F03F71">
              <w:rPr>
                <w:lang w:val="en-US"/>
              </w:rPr>
              <w:t>+</w:t>
            </w:r>
          </w:p>
        </w:tc>
        <w:tc>
          <w:tcPr>
            <w:tcW w:w="11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E0C939A" w14:textId="77777777" w:rsidR="00D533C7" w:rsidRPr="00F03F71" w:rsidRDefault="00D533C7" w:rsidP="00520481">
            <w:r w:rsidRPr="00F03F71">
              <w:rPr>
                <w:lang w:val="en-US"/>
              </w:rPr>
              <w:t>+</w:t>
            </w:r>
          </w:p>
        </w:tc>
        <w:tc>
          <w:tcPr>
            <w:tcW w:w="10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387645E" w14:textId="77777777" w:rsidR="00D533C7" w:rsidRPr="00F03F71" w:rsidRDefault="00D533C7" w:rsidP="00520481">
            <w:r w:rsidRPr="00F03F71">
              <w:rPr>
                <w:lang w:val="en-US"/>
              </w:rPr>
              <w:t>+</w:t>
            </w:r>
          </w:p>
        </w:tc>
        <w:tc>
          <w:tcPr>
            <w:tcW w:w="12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C2259CC" w14:textId="77777777" w:rsidR="00D533C7" w:rsidRPr="00F03F71" w:rsidRDefault="00D533C7" w:rsidP="00520481">
            <w:r w:rsidRPr="00F03F71">
              <w:rPr>
                <w:lang w:val="en-US"/>
              </w:rPr>
              <w:t>+</w:t>
            </w:r>
          </w:p>
        </w:tc>
      </w:tr>
      <w:tr w:rsidR="00D533C7" w:rsidRPr="00F03F71" w14:paraId="420C64C9" w14:textId="77777777" w:rsidTr="00520481">
        <w:trPr>
          <w:trHeight w:val="20"/>
        </w:trPr>
        <w:tc>
          <w:tcPr>
            <w:tcW w:w="218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2DBB15B4" w14:textId="77777777" w:rsidR="00D533C7" w:rsidRPr="00F03F71" w:rsidRDefault="00D533C7" w:rsidP="00520481">
            <w:r w:rsidRPr="00F03F71">
              <w:rPr>
                <w:lang w:val="en-US"/>
              </w:rPr>
              <w:t>Alacrimia</w:t>
            </w:r>
          </w:p>
        </w:tc>
        <w:tc>
          <w:tcPr>
            <w:tcW w:w="111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D3C628B" w14:textId="77777777" w:rsidR="00D533C7" w:rsidRPr="00F03F71" w:rsidRDefault="00D533C7" w:rsidP="00520481">
            <w:r w:rsidRPr="00F03F71">
              <w:rPr>
                <w:lang w:val="en-US"/>
              </w:rPr>
              <w:t>+</w:t>
            </w:r>
          </w:p>
        </w:tc>
        <w:tc>
          <w:tcPr>
            <w:tcW w:w="11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09D6BA1" w14:textId="77777777" w:rsidR="00D533C7" w:rsidRPr="00F03F71" w:rsidRDefault="00D533C7" w:rsidP="00520481">
            <w:r w:rsidRPr="00F03F71">
              <w:rPr>
                <w:lang w:val="en-US"/>
              </w:rPr>
              <w:t>+</w:t>
            </w:r>
          </w:p>
        </w:tc>
        <w:tc>
          <w:tcPr>
            <w:tcW w:w="10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236C001" w14:textId="77777777" w:rsidR="00D533C7" w:rsidRPr="00F03F71" w:rsidRDefault="00D533C7" w:rsidP="00520481">
            <w:r w:rsidRPr="00F03F71">
              <w:rPr>
                <w:lang w:val="en-US"/>
              </w:rPr>
              <w:t>-</w:t>
            </w:r>
          </w:p>
        </w:tc>
        <w:tc>
          <w:tcPr>
            <w:tcW w:w="12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970A8E7" w14:textId="77777777" w:rsidR="00D533C7" w:rsidRPr="00F03F71" w:rsidRDefault="00D533C7" w:rsidP="00520481">
            <w:r w:rsidRPr="00F03F71">
              <w:rPr>
                <w:lang w:val="en-US"/>
              </w:rPr>
              <w:t>+</w:t>
            </w:r>
          </w:p>
        </w:tc>
      </w:tr>
      <w:tr w:rsidR="00D533C7" w:rsidRPr="00F03F71" w14:paraId="1ED477A1" w14:textId="77777777" w:rsidTr="00520481">
        <w:trPr>
          <w:trHeight w:val="20"/>
        </w:trPr>
        <w:tc>
          <w:tcPr>
            <w:tcW w:w="218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0834CB2" w14:textId="77777777" w:rsidR="00D533C7" w:rsidRPr="00F03F71" w:rsidRDefault="00D533C7" w:rsidP="00520481">
            <w:r w:rsidRPr="00F03F71">
              <w:rPr>
                <w:lang w:val="en-US"/>
              </w:rPr>
              <w:t>Achalasia</w:t>
            </w:r>
          </w:p>
        </w:tc>
        <w:tc>
          <w:tcPr>
            <w:tcW w:w="111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82249D6" w14:textId="77777777" w:rsidR="00D533C7" w:rsidRPr="00F03F71" w:rsidRDefault="00D533C7" w:rsidP="00520481">
            <w:r w:rsidRPr="00F03F71">
              <w:rPr>
                <w:lang w:val="en-US"/>
              </w:rPr>
              <w:t>+</w:t>
            </w:r>
          </w:p>
        </w:tc>
        <w:tc>
          <w:tcPr>
            <w:tcW w:w="11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6779CA3" w14:textId="77777777" w:rsidR="00D533C7" w:rsidRPr="00F03F71" w:rsidRDefault="00D533C7" w:rsidP="00520481">
            <w:r w:rsidRPr="00F03F71">
              <w:rPr>
                <w:lang w:val="en-US"/>
              </w:rPr>
              <w:t>-</w:t>
            </w:r>
          </w:p>
        </w:tc>
        <w:tc>
          <w:tcPr>
            <w:tcW w:w="10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5C109D5" w14:textId="77777777" w:rsidR="00D533C7" w:rsidRPr="00F03F71" w:rsidRDefault="00D533C7" w:rsidP="00520481">
            <w:r w:rsidRPr="00F03F71">
              <w:rPr>
                <w:lang w:val="en-US"/>
              </w:rPr>
              <w:t>-</w:t>
            </w:r>
          </w:p>
        </w:tc>
        <w:tc>
          <w:tcPr>
            <w:tcW w:w="12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9A30A72" w14:textId="77777777" w:rsidR="00D533C7" w:rsidRPr="00F03F71" w:rsidRDefault="00D533C7" w:rsidP="00520481">
            <w:r w:rsidRPr="00F03F71">
              <w:rPr>
                <w:lang w:val="en-US"/>
              </w:rPr>
              <w:t>-</w:t>
            </w:r>
          </w:p>
        </w:tc>
      </w:tr>
      <w:tr w:rsidR="00D533C7" w:rsidRPr="00F03F71" w14:paraId="39A652C5" w14:textId="77777777" w:rsidTr="00520481">
        <w:trPr>
          <w:trHeight w:val="20"/>
        </w:trPr>
        <w:tc>
          <w:tcPr>
            <w:tcW w:w="218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7FE2883" w14:textId="77777777" w:rsidR="00D533C7" w:rsidRPr="00F03F71" w:rsidRDefault="00D533C7" w:rsidP="00520481">
            <w:r w:rsidRPr="00F03F71">
              <w:rPr>
                <w:lang w:val="en-US"/>
              </w:rPr>
              <w:t>Na/K</w:t>
            </w:r>
          </w:p>
        </w:tc>
        <w:tc>
          <w:tcPr>
            <w:tcW w:w="111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C651F4D" w14:textId="77777777" w:rsidR="00D533C7" w:rsidRPr="00F03F71" w:rsidRDefault="00D533C7" w:rsidP="00520481">
            <w:r w:rsidRPr="00F03F71">
              <w:rPr>
                <w:lang w:val="en-US"/>
              </w:rPr>
              <w:t>139/4.0</w:t>
            </w:r>
          </w:p>
        </w:tc>
        <w:tc>
          <w:tcPr>
            <w:tcW w:w="11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E6EB486" w14:textId="77777777" w:rsidR="00D533C7" w:rsidRPr="00F03F71" w:rsidRDefault="00D533C7" w:rsidP="00520481">
            <w:r w:rsidRPr="00F03F71">
              <w:rPr>
                <w:lang w:val="en-US"/>
              </w:rPr>
              <w:t>131/3</w:t>
            </w:r>
          </w:p>
        </w:tc>
        <w:tc>
          <w:tcPr>
            <w:tcW w:w="10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8105391" w14:textId="77777777" w:rsidR="00D533C7" w:rsidRPr="00F03F71" w:rsidRDefault="00D533C7" w:rsidP="00520481">
            <w:r w:rsidRPr="00F03F71">
              <w:rPr>
                <w:lang w:val="en-US"/>
              </w:rPr>
              <w:t>137/3.9</w:t>
            </w:r>
          </w:p>
        </w:tc>
        <w:tc>
          <w:tcPr>
            <w:tcW w:w="12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0562C82E" w14:textId="77777777" w:rsidR="00D533C7" w:rsidRPr="00F03F71" w:rsidRDefault="00D533C7" w:rsidP="00520481">
            <w:r w:rsidRPr="00F03F71">
              <w:rPr>
                <w:lang w:val="en-US"/>
              </w:rPr>
              <w:t>136/4.7</w:t>
            </w:r>
          </w:p>
        </w:tc>
      </w:tr>
      <w:tr w:rsidR="00D533C7" w:rsidRPr="00F03F71" w14:paraId="3640733D" w14:textId="77777777" w:rsidTr="00520481">
        <w:trPr>
          <w:trHeight w:val="20"/>
        </w:trPr>
        <w:tc>
          <w:tcPr>
            <w:tcW w:w="218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CC22309" w14:textId="77777777" w:rsidR="00D533C7" w:rsidRPr="00F03F71" w:rsidRDefault="00D533C7" w:rsidP="00520481">
            <w:r w:rsidRPr="00F03F71">
              <w:rPr>
                <w:lang w:val="en-US"/>
              </w:rPr>
              <w:t>Cortisol; ACTH</w:t>
            </w:r>
          </w:p>
        </w:tc>
        <w:tc>
          <w:tcPr>
            <w:tcW w:w="111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EC6F771" w14:textId="77777777" w:rsidR="00D533C7" w:rsidRPr="00F03F71" w:rsidRDefault="00D533C7" w:rsidP="00520481">
            <w:r w:rsidRPr="00F03F71">
              <w:rPr>
                <w:lang w:val="en-US"/>
              </w:rPr>
              <w:t>0.6/89.1</w:t>
            </w:r>
          </w:p>
        </w:tc>
        <w:tc>
          <w:tcPr>
            <w:tcW w:w="11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20FAED3" w14:textId="77777777" w:rsidR="00D533C7" w:rsidRPr="00F03F71" w:rsidRDefault="00D533C7" w:rsidP="00520481">
            <w:r w:rsidRPr="00F03F71">
              <w:rPr>
                <w:lang w:val="en-US"/>
              </w:rPr>
              <w:t>1.8/542</w:t>
            </w:r>
          </w:p>
        </w:tc>
        <w:tc>
          <w:tcPr>
            <w:tcW w:w="10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1EB2A966" w14:textId="77777777" w:rsidR="00D533C7" w:rsidRPr="00F03F71" w:rsidRDefault="00D533C7" w:rsidP="00520481">
            <w:r w:rsidRPr="00F03F71">
              <w:rPr>
                <w:lang w:val="en-US"/>
              </w:rPr>
              <w:t>2.8/451</w:t>
            </w:r>
          </w:p>
        </w:tc>
        <w:tc>
          <w:tcPr>
            <w:tcW w:w="12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4719723D" w14:textId="77777777" w:rsidR="00D533C7" w:rsidRPr="00F03F71" w:rsidRDefault="00D533C7" w:rsidP="00520481">
            <w:r w:rsidRPr="00F03F71">
              <w:rPr>
                <w:lang w:val="en-US"/>
              </w:rPr>
              <w:t>5.72/1677</w:t>
            </w:r>
          </w:p>
        </w:tc>
      </w:tr>
      <w:tr w:rsidR="00D533C7" w:rsidRPr="00F03F71" w14:paraId="72C5C769" w14:textId="77777777" w:rsidTr="00520481">
        <w:trPr>
          <w:trHeight w:val="20"/>
        </w:trPr>
        <w:tc>
          <w:tcPr>
            <w:tcW w:w="2182"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6191C645" w14:textId="77777777" w:rsidR="00D533C7" w:rsidRPr="00F03F71" w:rsidRDefault="00D533C7" w:rsidP="00520481">
            <w:r w:rsidRPr="00F03F71">
              <w:rPr>
                <w:lang w:val="en-US"/>
              </w:rPr>
              <w:t xml:space="preserve">Additional </w:t>
            </w:r>
          </w:p>
        </w:tc>
        <w:tc>
          <w:tcPr>
            <w:tcW w:w="1111"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0704079" w14:textId="6AA7CDAA" w:rsidR="00D533C7" w:rsidRPr="00F03F71" w:rsidRDefault="00D533C7" w:rsidP="00520481">
            <w:r w:rsidRPr="00F03F71">
              <w:rPr>
                <w:lang w:val="en-US"/>
              </w:rPr>
              <w:t>Barium swallow N</w:t>
            </w:r>
            <w:r w:rsidR="00BA068E">
              <w:rPr>
                <w:lang w:val="en-US"/>
              </w:rPr>
              <w:t>ormal</w:t>
            </w:r>
          </w:p>
        </w:tc>
        <w:tc>
          <w:tcPr>
            <w:tcW w:w="116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5D664203" w14:textId="77777777" w:rsidR="00D533C7" w:rsidRPr="00F03F71" w:rsidRDefault="00D533C7" w:rsidP="00520481">
            <w:r w:rsidRPr="00F03F71">
              <w:rPr>
                <w:lang w:val="en-US"/>
              </w:rPr>
              <w:t>Schirmer test +</w:t>
            </w:r>
          </w:p>
        </w:tc>
        <w:tc>
          <w:tcPr>
            <w:tcW w:w="1050"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36FF680C" w14:textId="77777777" w:rsidR="00D533C7" w:rsidRPr="00F03F71" w:rsidRDefault="00D533C7" w:rsidP="00520481"/>
        </w:tc>
        <w:tc>
          <w:tcPr>
            <w:tcW w:w="1293" w:type="dxa"/>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14:paraId="7F4770F8" w14:textId="77777777" w:rsidR="00D533C7" w:rsidRPr="00F03F71" w:rsidRDefault="00D533C7" w:rsidP="00520481"/>
        </w:tc>
      </w:tr>
    </w:tbl>
    <w:p w14:paraId="288007F3" w14:textId="77777777" w:rsidR="00D533C7" w:rsidRDefault="00D533C7" w:rsidP="00D533C7">
      <w:pPr>
        <w:rPr>
          <w:lang w:val="en-US"/>
        </w:rPr>
      </w:pPr>
    </w:p>
    <w:p w14:paraId="53E50080" w14:textId="644F0616" w:rsidR="009E25C6" w:rsidRDefault="009E25C6" w:rsidP="00D533C7">
      <w:pPr>
        <w:rPr>
          <w:lang w:val="en-US"/>
        </w:rPr>
      </w:pPr>
      <w:r>
        <w:rPr>
          <w:lang w:val="en-US"/>
        </w:rPr>
        <w:t xml:space="preserve">Table 1. Clinical </w:t>
      </w:r>
      <w:r w:rsidR="00515A0F">
        <w:rPr>
          <w:lang w:val="en-US"/>
        </w:rPr>
        <w:t>characteristics and investigations</w:t>
      </w:r>
    </w:p>
    <w:p w14:paraId="6A21571E" w14:textId="77777777" w:rsidR="00515A0F" w:rsidRDefault="00515A0F" w:rsidP="00D533C7">
      <w:pPr>
        <w:rPr>
          <w:lang w:val="en-US"/>
        </w:rPr>
      </w:pPr>
    </w:p>
    <w:p w14:paraId="52BDB20B" w14:textId="3341E0BF" w:rsidR="00D533C7" w:rsidRPr="008549BB" w:rsidRDefault="00D533C7" w:rsidP="00D533C7">
      <w:pPr>
        <w:rPr>
          <w:lang w:val="en-US"/>
        </w:rPr>
      </w:pPr>
      <w:r w:rsidRPr="00F03F71">
        <w:rPr>
          <w:lang w:val="en-US"/>
        </w:rPr>
        <w:t xml:space="preserve"> </w:t>
      </w:r>
      <w:r>
        <w:rPr>
          <w:lang w:val="en-US"/>
        </w:rPr>
        <w:t xml:space="preserve">All 4 patients had homozygous mutations of AAAS gene in different exons and variants {1 –Exon 11 , c.1066_1067del(p.Leu356ValfsTer8) Pathogenic ; 2 – exon 16, c.1422_1423delinsCC(p.Trp474_Ser475delinsCysPro) VUS ; 3 - exon 6 , c.506C&gt;A(p.Ala169Asp) VUS ; 4- Exon 1 , c.43C&gt;A(p.Gin15Lys) pathogenic }. </w:t>
      </w:r>
      <w:r w:rsidR="004A5083">
        <w:rPr>
          <w:lang w:val="en-US"/>
        </w:rPr>
        <w:t>(Figure 3,4,5,6)</w:t>
      </w:r>
    </w:p>
    <w:p w14:paraId="526435BF" w14:textId="77777777" w:rsidR="00D533C7" w:rsidRPr="008549BB" w:rsidRDefault="00D533C7" w:rsidP="00D533C7">
      <w:pPr>
        <w:rPr>
          <w:lang w:val="en-US"/>
        </w:rPr>
      </w:pPr>
    </w:p>
    <w:p w14:paraId="77F2B558" w14:textId="77777777" w:rsidR="00D533C7" w:rsidRDefault="00D533C7"/>
    <w:p w14:paraId="1F0B1D3E" w14:textId="73DCB867" w:rsidR="00457C20" w:rsidRDefault="00C6668F" w:rsidP="00457C20">
      <w:r>
        <w:lastRenderedPageBreak/>
        <w:t xml:space="preserve">DISCUSSION AND REVIEW OF LITERATURE : </w:t>
      </w:r>
      <w:r w:rsidR="00457C20">
        <w:t xml:space="preserve">Triple A (Allgrove) syndrome is an extremely rare disorder, with an estimated prevalence of nearly 1 in 1 million individuals; however, the actual prevalence is likely higher because of delayed diagnosis and variable or incomplete clinical expression. The disorder is caused by mutations in the AAAS gene on chromosome 12q13, which encodes the WD-repeat protein ALADIN. Deficiency of ALADIN disrupts intracellular transport through the nuclear pore complex, resulting in increased oxidative stress within adrenal cortical cells and subsequent impairment of steroidogenesis. The clinical presentation is age dependent. </w:t>
      </w:r>
      <w:proofErr w:type="spellStart"/>
      <w:r w:rsidR="00457C20">
        <w:t>Alacrima</w:t>
      </w:r>
      <w:proofErr w:type="spellEnd"/>
      <w:r w:rsidR="00457C20">
        <w:t xml:space="preserve">, reported in over 90% of cases, is usually the earliest feature and is often detectable during infancy, while adrenal insufficiency (approximately 85%) and gastrointestinal manifestations (less than 5%) typically develop later in childhood. Gastrointestinal involvement, particularly achalasia, is uncommon in early childhood but may occasionally precede adrenal insufficiency. The complete classical triad is observed in nearly 70% of affected individuals.¹ The prominent expression of ALADIN in the adrenal glands, central nervous system, and gastrointestinal tract accounts for the characteristic pattern of organ involvement seen in this condition.² Neurological and autonomic manifestations usually appear later, most often during adolescence, and include postural hypotension, impaired cardiovascular reflexes, cardiac arrhythmias, pupillary abnormalities, altered sweating patterns, and cognitive dysfunction.³ Mild intellectual disability represents the most frequently described neurocognitive abnormality.⁴ Reduced salivary secretion and xerostomia have also been reported, supported by abnormal </w:t>
      </w:r>
      <w:proofErr w:type="spellStart"/>
      <w:r w:rsidR="00457C20">
        <w:t>sialometry</w:t>
      </w:r>
      <w:proofErr w:type="spellEnd"/>
      <w:r w:rsidR="00457C20">
        <w:t xml:space="preserve"> findings in isolated cases.</w:t>
      </w:r>
    </w:p>
    <w:p w14:paraId="086D9DEE" w14:textId="77777777" w:rsidR="00457C20" w:rsidRDefault="00457C20" w:rsidP="00457C20"/>
    <w:p w14:paraId="70507518" w14:textId="77777777" w:rsidR="00457C20" w:rsidRDefault="00457C20" w:rsidP="00457C20">
      <w:r>
        <w:t xml:space="preserve">From a biochemical perspective, Triple A syndrome is characterized by </w:t>
      </w:r>
      <w:proofErr w:type="spellStart"/>
      <w:r>
        <w:t>hypocortisolemia</w:t>
      </w:r>
      <w:proofErr w:type="spellEnd"/>
      <w:r>
        <w:t xml:space="preserve"> with markedly elevated ACTH levels, recurrent episodes of </w:t>
      </w:r>
      <w:proofErr w:type="spellStart"/>
      <w:r>
        <w:t>hypoglycemia</w:t>
      </w:r>
      <w:proofErr w:type="spellEnd"/>
      <w:r>
        <w:t xml:space="preserve">, and generally normal serum electrolytes. In contrast to glucocorticoid deficiency, mineralocorticoid secretion is usually maintained, reflecting preserved zona glomerulosa function regulated by the renin–angiotensin system.⁵ Second-line diagnostic evaluations include Schirmer testing to assess </w:t>
      </w:r>
      <w:proofErr w:type="spellStart"/>
      <w:r>
        <w:t>alacrima</w:t>
      </w:r>
      <w:proofErr w:type="spellEnd"/>
      <w:r>
        <w:t xml:space="preserve"> and </w:t>
      </w:r>
      <w:proofErr w:type="spellStart"/>
      <w:r>
        <w:t>esophageal</w:t>
      </w:r>
      <w:proofErr w:type="spellEnd"/>
      <w:r>
        <w:t xml:space="preserve"> manometry or barium swallow studies to confirm achalasia, while orbital CT imaging may reveal hypoplastic or absent lacrimal glands. The differential diagnosis includes familial glucocorticoid deficiency, X-linked adrenoleukodystrophy, and Sjögren syndrome. More than 47 distinct AAAS mutations have been described, with frameshift and splice-site variants being most prevalent, followed by nonsense and missense mutations. Disease-causing variants are commonly clustered within exons 1, 8, and 10. The c.43C&gt;A (p.Gln15Lys) mutation identified in Case 4 is among the most frequently reported and has been associated with a relatively milder phenotype, delayed or absent adrenal insufficiency, and slower progression of neurological involvement.⁶ More recently, mutations in GMPPA and TRAPPC11 have been linked to “Triple A–like” syndromes, further broadening the genetic spectrum of this disorder.⁸˒⁹ Genotype–phenotype correlations remain inconsistent, highlighting the importance of long-term clinical follow-up. A recent endocrine genetics abstract described a homozygous frameshift mutation (AAAS c.1066_1067del; p.Leu356fs*) in multiple affected individuals, associated with universal </w:t>
      </w:r>
      <w:proofErr w:type="spellStart"/>
      <w:r>
        <w:t>alacrima</w:t>
      </w:r>
      <w:proofErr w:type="spellEnd"/>
      <w:r>
        <w:t xml:space="preserve"> and a high frequency of adrenal insufficiency and achalasia, findings that are comparable to those observed in Case 1. Variants detected in Cases 2 and 3 have not been previously reported, underscoring the value of segregation analysis and parental testing in reclassifying variants of uncertain significance. One patient was diagnosed following extensive evaluation for recurrent pneumonia, emphasizing the marked phenotypic variability of the syndrome and the need for a high index of clinical </w:t>
      </w:r>
      <w:r>
        <w:lastRenderedPageBreak/>
        <w:t xml:space="preserve">suspicion.¹⁰ Neurological associations such as syringomyelia and Arnold–Chiari malformation have been documented, leading to recommendations for screening MRI of the brain and spine even in asymptomatic individuals.¹¹ To date, no previous reports have described associations with choroid plexus </w:t>
      </w:r>
      <w:proofErr w:type="spellStart"/>
      <w:r>
        <w:t>xanthogranuloma</w:t>
      </w:r>
      <w:proofErr w:type="spellEnd"/>
      <w:r>
        <w:t xml:space="preserve"> or midline defects, as noted in Cases 1 and 4, making these observations particularly noteworthy.¹²</w:t>
      </w:r>
    </w:p>
    <w:p w14:paraId="59A91E6A" w14:textId="77777777" w:rsidR="00457C20" w:rsidRDefault="00457C20" w:rsidP="00457C20"/>
    <w:p w14:paraId="5B4F04EE" w14:textId="253E2945" w:rsidR="00457C20" w:rsidRDefault="00C6668F" w:rsidP="00457C20">
      <w:r>
        <w:t xml:space="preserve">TREATMENT : </w:t>
      </w:r>
      <w:r w:rsidR="00457C20">
        <w:t xml:space="preserve">Management includes glucocorticoid replacement with hydrocortisone at a dose of 7–12 mg/m²/day administered in three divided doses, along with fludrocortisone at 0.1 mg/day when indicated. Education regarding sick-day rules and stress-dose hydrocortisone is essential to prevent adrenal crises. Recommendations for long-term follow-up, including monitoring strategies, interventions, and supportive care for patients with Triple A syndrome, remain limited, as existing evidence is largely derived from case reports and small case series. Initially, follow-up every three months with clinical and biochemical assessment is suggested, followed by six-monthly reviews thereafter. Therapeutic options for achalasia include Heller’s </w:t>
      </w:r>
      <w:proofErr w:type="spellStart"/>
      <w:r w:rsidR="00457C20">
        <w:t>cardiomyotomy</w:t>
      </w:r>
      <w:proofErr w:type="spellEnd"/>
      <w:r w:rsidR="00457C20">
        <w:t xml:space="preserve">, pharmacological therapies such as calcium channel blockers, botulinum toxin injections, or nitrates, and pneumatic </w:t>
      </w:r>
      <w:proofErr w:type="spellStart"/>
      <w:r w:rsidR="00457C20">
        <w:t>esophageal</w:t>
      </w:r>
      <w:proofErr w:type="spellEnd"/>
      <w:r w:rsidR="00457C20">
        <w:t xml:space="preserve"> dilatation, all of which have demonstrated success. Regular use of artificial tears and ocular lubricants provides symptomatic relief from ocular dryness.</w:t>
      </w:r>
    </w:p>
    <w:p w14:paraId="54685344" w14:textId="77777777" w:rsidR="00457C20" w:rsidRDefault="00457C20" w:rsidP="00457C20"/>
    <w:p w14:paraId="0C91EB65" w14:textId="758C3B4D" w:rsidR="00814FDE" w:rsidRDefault="00814FDE" w:rsidP="00457C20">
      <w:r>
        <w:t>FOLLOW UP : Case 1 later developed hypertension , which could be due to steroids or an autonomic manifestation but</w:t>
      </w:r>
      <w:r w:rsidR="000E3CDC">
        <w:t xml:space="preserve"> not reported. Case 2 is doing well , with no complications. Case 3 </w:t>
      </w:r>
      <w:r w:rsidR="006A1055">
        <w:t xml:space="preserve">developed alacrimia and achalasia , for which barium study was done – normal </w:t>
      </w:r>
      <w:r w:rsidR="004163E4">
        <w:t>;</w:t>
      </w:r>
      <w:r w:rsidR="006A1055">
        <w:t xml:space="preserve"> given artificia</w:t>
      </w:r>
      <w:r w:rsidR="004163E4">
        <w:t>l</w:t>
      </w:r>
      <w:r w:rsidR="006A1055">
        <w:t xml:space="preserve"> eye drops. </w:t>
      </w:r>
      <w:r w:rsidR="004163E4">
        <w:t xml:space="preserve">Case 4 has slow growth velocity </w:t>
      </w:r>
      <w:r w:rsidR="00C6111F">
        <w:t xml:space="preserve">, for which other baseline endocrine causes were ruled out </w:t>
      </w:r>
      <w:r w:rsidR="003B418C">
        <w:t>, steroid doses were reduced ; plan was to consider GH deficiency , keeping midline defect in mind</w:t>
      </w:r>
      <w:r w:rsidR="001D17E1">
        <w:t xml:space="preserve">. </w:t>
      </w:r>
      <w:r w:rsidR="0075752E">
        <w:t xml:space="preserve">It has been reported </w:t>
      </w:r>
      <w:r w:rsidR="00437979">
        <w:t>in a few cases as a rare association.</w:t>
      </w:r>
    </w:p>
    <w:p w14:paraId="1B383BC7" w14:textId="77777777" w:rsidR="001D17E1" w:rsidRDefault="001D17E1" w:rsidP="00457C20"/>
    <w:p w14:paraId="5660F7F8" w14:textId="2275BBF4" w:rsidR="00693E45" w:rsidRDefault="00C6668F" w:rsidP="00457C20">
      <w:r>
        <w:t xml:space="preserve">CONSLUSION : </w:t>
      </w:r>
      <w:r w:rsidR="00457C20" w:rsidRPr="00457C20">
        <w:t xml:space="preserve">Triple A syndrome represents a rare yet potentially life-threatening cause of primary adrenal insufficiency. Genotypic findings do not always correlate with the clinical phenotype, necessitating a high index of clinical suspicion and ongoing follow-up to monitor disease progression. The majority of published case reports and case series originate from outside India; therefore, a better understanding of genotype–phenotype correlations within the Indian population is needed. Early recognition, timely genetic testing, and a multidisciplinary management approach can substantially improve clinical outcomes. Genetic testing plays a critical role in identifying the </w:t>
      </w:r>
      <w:proofErr w:type="spellStart"/>
      <w:r w:rsidR="00457C20" w:rsidRPr="00457C20">
        <w:t>etiology</w:t>
      </w:r>
      <w:proofErr w:type="spellEnd"/>
      <w:r w:rsidR="00457C20" w:rsidRPr="00457C20">
        <w:t xml:space="preserve"> of primary adrenal insufficiency, as it aids in estimating the risk of inheritance in future generations (25%), anticipating associated neurological involvement, and facilitating the detection of asymptomatic siblings.</w:t>
      </w:r>
    </w:p>
    <w:p w14:paraId="2FCBD4F0" w14:textId="77777777" w:rsidR="00693E45" w:rsidRDefault="00693E45" w:rsidP="00693E45">
      <w:pPr>
        <w:rPr>
          <w:lang w:val="en-US"/>
        </w:rPr>
      </w:pPr>
    </w:p>
    <w:p w14:paraId="39B4BD5A" w14:textId="77777777" w:rsidR="00693E45" w:rsidRDefault="00693E45" w:rsidP="00693E45">
      <w:pPr>
        <w:rPr>
          <w:lang w:val="en-US"/>
        </w:rPr>
      </w:pPr>
      <w:proofErr w:type="gramStart"/>
      <w:r>
        <w:rPr>
          <w:lang w:val="en-US"/>
        </w:rPr>
        <w:t>REFERENCES :</w:t>
      </w:r>
      <w:proofErr w:type="gramEnd"/>
      <w:r>
        <w:rPr>
          <w:lang w:val="en-US"/>
        </w:rPr>
        <w:t xml:space="preserve"> </w:t>
      </w:r>
    </w:p>
    <w:p w14:paraId="65D0E814" w14:textId="77777777" w:rsidR="00693E45" w:rsidRDefault="00693E45" w:rsidP="00693E45">
      <w:pPr>
        <w:rPr>
          <w:lang w:val="en-US"/>
        </w:rPr>
      </w:pPr>
    </w:p>
    <w:p w14:paraId="1A6444EC" w14:textId="77777777" w:rsidR="00693E45" w:rsidRDefault="00693E45" w:rsidP="00693E45">
      <w:pPr>
        <w:pStyle w:val="ListParagraph"/>
        <w:numPr>
          <w:ilvl w:val="0"/>
          <w:numId w:val="1"/>
        </w:numPr>
        <w:rPr>
          <w:rFonts w:eastAsia="Times New Roman" w:cstheme="minorHAnsi"/>
          <w:color w:val="000000"/>
          <w:kern w:val="0"/>
          <w:lang w:eastAsia="en-GB"/>
          <w14:ligatures w14:val="none"/>
        </w:rPr>
      </w:pPr>
      <w:proofErr w:type="spellStart"/>
      <w:r w:rsidRPr="00C30290">
        <w:rPr>
          <w:rFonts w:eastAsia="Times New Roman" w:cstheme="minorHAnsi"/>
          <w:color w:val="000000"/>
          <w:kern w:val="0"/>
          <w:lang w:eastAsia="en-GB"/>
          <w14:ligatures w14:val="none"/>
        </w:rPr>
        <w:t>Roucher</w:t>
      </w:r>
      <w:proofErr w:type="spellEnd"/>
      <w:r w:rsidRPr="00C30290">
        <w:rPr>
          <w:rFonts w:eastAsia="Times New Roman" w:cstheme="minorHAnsi"/>
          <w:color w:val="000000"/>
          <w:kern w:val="0"/>
          <w:lang w:eastAsia="en-GB"/>
          <w14:ligatures w14:val="none"/>
        </w:rPr>
        <w:t xml:space="preserve">-Boulez F, Brac de la </w:t>
      </w:r>
      <w:proofErr w:type="spellStart"/>
      <w:r w:rsidRPr="00C30290">
        <w:rPr>
          <w:rFonts w:eastAsia="Times New Roman" w:cstheme="minorHAnsi"/>
          <w:color w:val="000000"/>
          <w:kern w:val="0"/>
          <w:lang w:eastAsia="en-GB"/>
          <w14:ligatures w14:val="none"/>
        </w:rPr>
        <w:t>Perriere</w:t>
      </w:r>
      <w:proofErr w:type="spellEnd"/>
      <w:r w:rsidRPr="00C30290">
        <w:rPr>
          <w:rFonts w:eastAsia="Times New Roman" w:cstheme="minorHAnsi"/>
          <w:color w:val="000000"/>
          <w:kern w:val="0"/>
          <w:lang w:eastAsia="en-GB"/>
          <w14:ligatures w14:val="none"/>
        </w:rPr>
        <w:t xml:space="preserve"> A, Jacquez A, et al. Triple-A</w:t>
      </w:r>
      <w:r>
        <w:rPr>
          <w:rFonts w:eastAsia="Times New Roman" w:cstheme="minorHAnsi"/>
          <w:color w:val="000000"/>
          <w:kern w:val="0"/>
          <w:lang w:eastAsia="en-GB"/>
          <w14:ligatures w14:val="none"/>
        </w:rPr>
        <w:t xml:space="preserve"> </w:t>
      </w:r>
      <w:r w:rsidRPr="00C30290">
        <w:rPr>
          <w:rFonts w:eastAsia="Times New Roman" w:cstheme="minorHAnsi"/>
          <w:color w:val="000000"/>
          <w:kern w:val="0"/>
          <w:lang w:eastAsia="en-GB"/>
          <w14:ligatures w14:val="none"/>
        </w:rPr>
        <w:t xml:space="preserve">syndrome: a wide spectrum of adrenal dysfunction. </w:t>
      </w:r>
      <w:proofErr w:type="spellStart"/>
      <w:r w:rsidRPr="00C30290">
        <w:rPr>
          <w:rFonts w:eastAsia="Times New Roman" w:cstheme="minorHAnsi"/>
          <w:color w:val="000000"/>
          <w:kern w:val="0"/>
          <w:lang w:eastAsia="en-GB"/>
          <w14:ligatures w14:val="none"/>
        </w:rPr>
        <w:t>Eur</w:t>
      </w:r>
      <w:proofErr w:type="spellEnd"/>
      <w:r w:rsidRPr="00C30290">
        <w:rPr>
          <w:rFonts w:eastAsia="Times New Roman" w:cstheme="minorHAnsi"/>
          <w:color w:val="000000"/>
          <w:kern w:val="0"/>
          <w:lang w:eastAsia="en-GB"/>
          <w14:ligatures w14:val="none"/>
        </w:rPr>
        <w:t xml:space="preserve"> J Endocrinol.</w:t>
      </w:r>
      <w:r>
        <w:rPr>
          <w:rFonts w:eastAsia="Times New Roman" w:cstheme="minorHAnsi"/>
          <w:color w:val="000000"/>
          <w:kern w:val="0"/>
          <w:lang w:eastAsia="en-GB"/>
          <w14:ligatures w14:val="none"/>
        </w:rPr>
        <w:t xml:space="preserve"> </w:t>
      </w:r>
      <w:r w:rsidRPr="00C30290">
        <w:rPr>
          <w:rFonts w:eastAsia="Times New Roman" w:cstheme="minorHAnsi"/>
          <w:color w:val="00006A"/>
          <w:kern w:val="0"/>
          <w:lang w:eastAsia="en-GB"/>
          <w14:ligatures w14:val="none"/>
        </w:rPr>
        <w:t>2018</w:t>
      </w:r>
      <w:r w:rsidRPr="00C30290">
        <w:rPr>
          <w:rFonts w:eastAsia="Times New Roman" w:cstheme="minorHAnsi"/>
          <w:color w:val="000000"/>
          <w:kern w:val="0"/>
          <w:lang w:eastAsia="en-GB"/>
          <w14:ligatures w14:val="none"/>
        </w:rPr>
        <w:t>;178(3):199–207. doi:10.1530/EJE-17-0642</w:t>
      </w:r>
    </w:p>
    <w:p w14:paraId="13B4DCAA" w14:textId="77777777" w:rsidR="00693E45" w:rsidRDefault="00693E45" w:rsidP="00693E45">
      <w:pPr>
        <w:pStyle w:val="ListParagraph"/>
        <w:ind w:left="360"/>
        <w:rPr>
          <w:rFonts w:eastAsia="Times New Roman" w:cstheme="minorHAnsi"/>
          <w:color w:val="000000"/>
          <w:kern w:val="0"/>
          <w:lang w:eastAsia="en-GB"/>
          <w14:ligatures w14:val="none"/>
        </w:rPr>
      </w:pPr>
    </w:p>
    <w:p w14:paraId="1C8231D0" w14:textId="77777777" w:rsidR="00693E45" w:rsidRPr="00EC230C" w:rsidRDefault="00693E45" w:rsidP="00693E45">
      <w:pPr>
        <w:pStyle w:val="ListParagraph"/>
        <w:numPr>
          <w:ilvl w:val="0"/>
          <w:numId w:val="1"/>
        </w:numPr>
        <w:rPr>
          <w:rFonts w:eastAsia="Times New Roman" w:cstheme="minorHAnsi"/>
          <w:color w:val="000000"/>
          <w:kern w:val="0"/>
          <w:lang w:eastAsia="en-GB"/>
          <w14:ligatures w14:val="none"/>
        </w:rPr>
      </w:pPr>
      <w:proofErr w:type="spellStart"/>
      <w:r w:rsidRPr="00D31282">
        <w:rPr>
          <w:rFonts w:eastAsia="Times New Roman" w:cstheme="minorHAnsi"/>
          <w:color w:val="000000"/>
          <w:kern w:val="0"/>
          <w:lang w:eastAsia="en-GB"/>
          <w14:ligatures w14:val="none"/>
        </w:rPr>
        <w:t>Handschug</w:t>
      </w:r>
      <w:proofErr w:type="spellEnd"/>
      <w:r w:rsidRPr="00D31282">
        <w:rPr>
          <w:rFonts w:eastAsia="Times New Roman" w:cstheme="minorHAnsi"/>
          <w:color w:val="000000"/>
          <w:kern w:val="0"/>
          <w:lang w:eastAsia="en-GB"/>
          <w14:ligatures w14:val="none"/>
        </w:rPr>
        <w:t xml:space="preserve"> K, Sperling S, Yoon SJ, Hennig S, Clark AJ, Huebner A.</w:t>
      </w:r>
      <w:r>
        <w:rPr>
          <w:rFonts w:eastAsia="Times New Roman" w:cstheme="minorHAnsi"/>
          <w:color w:val="000000"/>
          <w:kern w:val="0"/>
          <w:lang w:eastAsia="en-GB"/>
          <w14:ligatures w14:val="none"/>
        </w:rPr>
        <w:t xml:space="preserve"> </w:t>
      </w:r>
      <w:r w:rsidRPr="00D31282">
        <w:rPr>
          <w:rFonts w:eastAsia="Times New Roman" w:cstheme="minorHAnsi"/>
          <w:color w:val="000000"/>
          <w:kern w:val="0"/>
          <w:lang w:eastAsia="en-GB"/>
          <w14:ligatures w14:val="none"/>
        </w:rPr>
        <w:t xml:space="preserve">Triple A syndrome is caused by mutations in AAAS, a new WD-repeat protein gene. Hum Mol Genet. </w:t>
      </w:r>
      <w:r w:rsidRPr="00D31282">
        <w:rPr>
          <w:rFonts w:eastAsia="Times New Roman" w:cstheme="minorHAnsi"/>
          <w:color w:val="00006A"/>
          <w:kern w:val="0"/>
          <w:lang w:eastAsia="en-GB"/>
          <w14:ligatures w14:val="none"/>
        </w:rPr>
        <w:t>2001</w:t>
      </w:r>
      <w:r w:rsidRPr="00D31282">
        <w:rPr>
          <w:rFonts w:eastAsia="Times New Roman" w:cstheme="minorHAnsi"/>
          <w:color w:val="000000"/>
          <w:kern w:val="0"/>
          <w:lang w:eastAsia="en-GB"/>
          <w14:ligatures w14:val="none"/>
        </w:rPr>
        <w:t>;10(3):283–290.doi:10.1093/</w:t>
      </w:r>
      <w:proofErr w:type="spellStart"/>
      <w:r w:rsidRPr="00D31282">
        <w:rPr>
          <w:rFonts w:eastAsia="Times New Roman" w:cstheme="minorHAnsi"/>
          <w:color w:val="000000"/>
          <w:kern w:val="0"/>
          <w:lang w:eastAsia="en-GB"/>
          <w14:ligatures w14:val="none"/>
        </w:rPr>
        <w:t>hmg</w:t>
      </w:r>
      <w:proofErr w:type="spellEnd"/>
      <w:r w:rsidRPr="00D31282">
        <w:rPr>
          <w:rFonts w:eastAsia="Times New Roman" w:cstheme="minorHAnsi"/>
          <w:color w:val="000000"/>
          <w:kern w:val="0"/>
          <w:lang w:eastAsia="en-GB"/>
          <w14:ligatures w14:val="none"/>
        </w:rPr>
        <w:t>/10.3.283</w:t>
      </w:r>
    </w:p>
    <w:p w14:paraId="49BDBA0D" w14:textId="77777777" w:rsidR="00693E45" w:rsidRPr="00FF1252" w:rsidRDefault="00693E45" w:rsidP="00693E45">
      <w:pPr>
        <w:rPr>
          <w:rFonts w:eastAsia="Times New Roman" w:cstheme="minorHAnsi"/>
          <w:color w:val="000000"/>
          <w:kern w:val="0"/>
          <w:lang w:eastAsia="en-GB"/>
          <w14:ligatures w14:val="none"/>
        </w:rPr>
      </w:pPr>
    </w:p>
    <w:p w14:paraId="0E975520" w14:textId="77777777" w:rsidR="00693E45" w:rsidRDefault="00693E45" w:rsidP="00693E45">
      <w:pPr>
        <w:pStyle w:val="ListParagraph"/>
        <w:numPr>
          <w:ilvl w:val="0"/>
          <w:numId w:val="1"/>
        </w:numPr>
      </w:pPr>
      <w:r>
        <w:lastRenderedPageBreak/>
        <w:t>Fima Textbook of Paediatric Endocrinology</w:t>
      </w:r>
    </w:p>
    <w:p w14:paraId="5EA95C47" w14:textId="77777777" w:rsidR="00693E45" w:rsidRDefault="00693E45" w:rsidP="00693E45"/>
    <w:p w14:paraId="2245FDB7" w14:textId="77777777" w:rsidR="00693E45" w:rsidRDefault="00693E45" w:rsidP="00693E45">
      <w:pPr>
        <w:pStyle w:val="ListParagraph"/>
        <w:numPr>
          <w:ilvl w:val="0"/>
          <w:numId w:val="1"/>
        </w:numPr>
      </w:pPr>
      <w:r>
        <w:t xml:space="preserve">Mark And Sperling Textbook of Paediatric Endocrinology </w:t>
      </w:r>
    </w:p>
    <w:p w14:paraId="72231ADD" w14:textId="77777777" w:rsidR="00693E45" w:rsidRDefault="00693E45" w:rsidP="00693E45"/>
    <w:p w14:paraId="47CA71C4" w14:textId="77777777" w:rsidR="00693E45" w:rsidRDefault="00693E45" w:rsidP="00693E45">
      <w:pPr>
        <w:pStyle w:val="ListParagraph"/>
        <w:numPr>
          <w:ilvl w:val="0"/>
          <w:numId w:val="1"/>
        </w:numPr>
        <w:rPr>
          <w:rFonts w:eastAsia="Times New Roman" w:cstheme="minorHAnsi"/>
          <w:color w:val="000000"/>
          <w:kern w:val="0"/>
          <w:lang w:eastAsia="en-GB"/>
          <w14:ligatures w14:val="none"/>
        </w:rPr>
      </w:pPr>
      <w:r w:rsidRPr="00D31282">
        <w:rPr>
          <w:rFonts w:eastAsia="Times New Roman" w:cstheme="minorHAnsi"/>
          <w:color w:val="000000"/>
          <w:kern w:val="0"/>
          <w:lang w:eastAsia="en-GB"/>
          <w14:ligatures w14:val="none"/>
        </w:rPr>
        <w:t xml:space="preserve">Milenkovic T, </w:t>
      </w:r>
      <w:proofErr w:type="spellStart"/>
      <w:r w:rsidRPr="00D31282">
        <w:rPr>
          <w:rFonts w:eastAsia="Times New Roman" w:cstheme="minorHAnsi"/>
          <w:color w:val="000000"/>
          <w:kern w:val="0"/>
          <w:lang w:eastAsia="en-GB"/>
          <w14:ligatures w14:val="none"/>
        </w:rPr>
        <w:t>Zdravkovic</w:t>
      </w:r>
      <w:proofErr w:type="spellEnd"/>
      <w:r w:rsidRPr="00D31282">
        <w:rPr>
          <w:rFonts w:eastAsia="Times New Roman" w:cstheme="minorHAnsi"/>
          <w:color w:val="000000"/>
          <w:kern w:val="0"/>
          <w:lang w:eastAsia="en-GB"/>
          <w14:ligatures w14:val="none"/>
        </w:rPr>
        <w:t xml:space="preserve"> D, Savic N, et al. Triple A syndrome: 32</w:t>
      </w:r>
      <w:r>
        <w:rPr>
          <w:rFonts w:eastAsia="Times New Roman" w:cstheme="minorHAnsi"/>
          <w:color w:val="000000"/>
          <w:kern w:val="0"/>
          <w:lang w:eastAsia="en-GB"/>
          <w14:ligatures w14:val="none"/>
        </w:rPr>
        <w:t xml:space="preserve"> </w:t>
      </w:r>
      <w:proofErr w:type="spellStart"/>
      <w:r w:rsidRPr="00D31282">
        <w:rPr>
          <w:rFonts w:eastAsia="Times New Roman" w:cstheme="minorHAnsi"/>
          <w:color w:val="000000"/>
          <w:kern w:val="0"/>
          <w:lang w:eastAsia="en-GB"/>
          <w14:ligatures w14:val="none"/>
        </w:rPr>
        <w:t>years experience</w:t>
      </w:r>
      <w:proofErr w:type="spellEnd"/>
      <w:r w:rsidRPr="00D31282">
        <w:rPr>
          <w:rFonts w:eastAsia="Times New Roman" w:cstheme="minorHAnsi"/>
          <w:color w:val="000000"/>
          <w:kern w:val="0"/>
          <w:lang w:eastAsia="en-GB"/>
          <w14:ligatures w14:val="none"/>
        </w:rPr>
        <w:t xml:space="preserve"> of a single centre (1977–2008). </w:t>
      </w:r>
      <w:proofErr w:type="spellStart"/>
      <w:r w:rsidRPr="00D31282">
        <w:rPr>
          <w:rFonts w:eastAsia="Times New Roman" w:cstheme="minorHAnsi"/>
          <w:color w:val="000000"/>
          <w:kern w:val="0"/>
          <w:lang w:eastAsia="en-GB"/>
          <w14:ligatures w14:val="none"/>
        </w:rPr>
        <w:t>Eur</w:t>
      </w:r>
      <w:proofErr w:type="spellEnd"/>
      <w:r w:rsidRPr="00D31282">
        <w:rPr>
          <w:rFonts w:eastAsia="Times New Roman" w:cstheme="minorHAnsi"/>
          <w:color w:val="000000"/>
          <w:kern w:val="0"/>
          <w:lang w:eastAsia="en-GB"/>
          <w14:ligatures w14:val="none"/>
        </w:rPr>
        <w:t xml:space="preserve"> J Pediatr.</w:t>
      </w:r>
      <w:r w:rsidRPr="00D31282">
        <w:rPr>
          <w:rFonts w:eastAsia="Times New Roman" w:cstheme="minorHAnsi"/>
          <w:color w:val="00006A"/>
          <w:kern w:val="0"/>
          <w:lang w:eastAsia="en-GB"/>
          <w14:ligatures w14:val="none"/>
        </w:rPr>
        <w:t>2010</w:t>
      </w:r>
      <w:r w:rsidRPr="00D31282">
        <w:rPr>
          <w:rFonts w:eastAsia="Times New Roman" w:cstheme="minorHAnsi"/>
          <w:color w:val="000000"/>
          <w:kern w:val="0"/>
          <w:lang w:eastAsia="en-GB"/>
          <w14:ligatures w14:val="none"/>
        </w:rPr>
        <w:t>;169(11):1323–1doi:10.1007/s00431-010-1222-7</w:t>
      </w:r>
    </w:p>
    <w:p w14:paraId="3C7B522E" w14:textId="77777777" w:rsidR="00693E45" w:rsidRPr="00FF1252" w:rsidRDefault="00693E45" w:rsidP="00693E45">
      <w:pPr>
        <w:rPr>
          <w:rFonts w:eastAsia="Times New Roman" w:cstheme="minorHAnsi"/>
          <w:color w:val="000000"/>
          <w:kern w:val="0"/>
          <w:lang w:eastAsia="en-GB"/>
          <w14:ligatures w14:val="none"/>
        </w:rPr>
      </w:pPr>
    </w:p>
    <w:p w14:paraId="620C90B7" w14:textId="77777777" w:rsidR="00693E45" w:rsidRPr="00EC230C" w:rsidRDefault="00693E45" w:rsidP="00693E45">
      <w:pPr>
        <w:pStyle w:val="ListParagraph"/>
        <w:numPr>
          <w:ilvl w:val="0"/>
          <w:numId w:val="1"/>
        </w:numPr>
        <w:rPr>
          <w:rFonts w:eastAsia="Times New Roman" w:cstheme="minorHAnsi"/>
          <w:color w:val="000000"/>
          <w:kern w:val="0"/>
          <w:lang w:eastAsia="en-GB"/>
          <w14:ligatures w14:val="none"/>
        </w:rPr>
      </w:pPr>
      <w:r>
        <w:t xml:space="preserve">Founder Effect, Age Estimation of the AAAS c.1331+1G&gt;A Variant. Belmokhtar K Y, Cherkaoui I, </w:t>
      </w:r>
      <w:proofErr w:type="spellStart"/>
      <w:r>
        <w:t>Lhousni</w:t>
      </w:r>
      <w:proofErr w:type="spellEnd"/>
      <w:r>
        <w:t xml:space="preserve"> S, et al. </w:t>
      </w:r>
      <w:r>
        <w:rPr>
          <w:rStyle w:val="Emphasis"/>
        </w:rPr>
        <w:t>Triple-A Syndrome in Morocco: Founder Effect, Age Estimation of the AAAS c.1331+1G&gt;A Variant, and Implications for Genetic Diagnosis.</w:t>
      </w:r>
      <w:r>
        <w:t xml:space="preserve"> </w:t>
      </w:r>
      <w:r>
        <w:rPr>
          <w:rStyle w:val="Emphasis"/>
        </w:rPr>
        <w:t xml:space="preserve">Mol </w:t>
      </w:r>
      <w:proofErr w:type="spellStart"/>
      <w:r>
        <w:rPr>
          <w:rStyle w:val="Emphasis"/>
        </w:rPr>
        <w:t>Syndromol</w:t>
      </w:r>
      <w:proofErr w:type="spellEnd"/>
      <w:r>
        <w:rPr>
          <w:rStyle w:val="Emphasis"/>
        </w:rPr>
        <w:t>.</w:t>
      </w:r>
      <w:r>
        <w:t xml:space="preserve"> 2024;15(2):96-103</w:t>
      </w:r>
    </w:p>
    <w:p w14:paraId="1718ACCD" w14:textId="77777777" w:rsidR="00693E45" w:rsidRPr="00FF1252" w:rsidRDefault="00693E45" w:rsidP="00693E45">
      <w:pPr>
        <w:rPr>
          <w:rFonts w:cstheme="minorHAnsi"/>
          <w:color w:val="1B1B1B"/>
          <w:shd w:val="clear" w:color="auto" w:fill="FFFFFF"/>
        </w:rPr>
      </w:pPr>
    </w:p>
    <w:p w14:paraId="28A9F2AA" w14:textId="77777777" w:rsidR="00693E45" w:rsidRDefault="00693E45" w:rsidP="00693E45">
      <w:pPr>
        <w:pStyle w:val="ListParagraph"/>
        <w:numPr>
          <w:ilvl w:val="0"/>
          <w:numId w:val="1"/>
        </w:numPr>
        <w:rPr>
          <w:rFonts w:eastAsia="Times New Roman" w:cstheme="minorHAnsi"/>
          <w:color w:val="000000"/>
          <w:kern w:val="0"/>
          <w:lang w:eastAsia="en-GB"/>
          <w14:ligatures w14:val="none"/>
        </w:rPr>
      </w:pPr>
      <w:r w:rsidRPr="00C30290">
        <w:rPr>
          <w:rFonts w:eastAsia="Times New Roman" w:cstheme="minorHAnsi"/>
          <w:color w:val="000000"/>
          <w:kern w:val="0"/>
          <w:lang w:eastAsia="en-GB"/>
          <w14:ligatures w14:val="none"/>
        </w:rPr>
        <w:t>Huebner A, Elias LL, Clark AJ. ACTH resistance syndromes.</w:t>
      </w:r>
      <w:r>
        <w:rPr>
          <w:rFonts w:eastAsia="Times New Roman" w:cstheme="minorHAnsi"/>
          <w:color w:val="000000"/>
          <w:kern w:val="0"/>
          <w:lang w:eastAsia="en-GB"/>
          <w14:ligatures w14:val="none"/>
        </w:rPr>
        <w:t xml:space="preserve"> </w:t>
      </w:r>
      <w:r w:rsidRPr="00C30290">
        <w:rPr>
          <w:rFonts w:eastAsia="Times New Roman" w:cstheme="minorHAnsi"/>
          <w:color w:val="000000"/>
          <w:kern w:val="0"/>
          <w:lang w:eastAsia="en-GB"/>
          <w14:ligatures w14:val="none"/>
        </w:rPr>
        <w:t xml:space="preserve">J Pediatr Endocrinol </w:t>
      </w:r>
      <w:proofErr w:type="spellStart"/>
      <w:r w:rsidRPr="00C30290">
        <w:rPr>
          <w:rFonts w:eastAsia="Times New Roman" w:cstheme="minorHAnsi"/>
          <w:color w:val="000000"/>
          <w:kern w:val="0"/>
          <w:lang w:eastAsia="en-GB"/>
          <w14:ligatures w14:val="none"/>
        </w:rPr>
        <w:t>Metab</w:t>
      </w:r>
      <w:proofErr w:type="spellEnd"/>
      <w:r w:rsidRPr="00C30290">
        <w:rPr>
          <w:rFonts w:eastAsia="Times New Roman" w:cstheme="minorHAnsi"/>
          <w:color w:val="000000"/>
          <w:kern w:val="0"/>
          <w:lang w:eastAsia="en-GB"/>
          <w14:ligatures w14:val="none"/>
        </w:rPr>
        <w:t xml:space="preserve">. </w:t>
      </w:r>
      <w:r w:rsidRPr="00C30290">
        <w:rPr>
          <w:rFonts w:eastAsia="Times New Roman" w:cstheme="minorHAnsi"/>
          <w:color w:val="00006A"/>
          <w:kern w:val="0"/>
          <w:lang w:eastAsia="en-GB"/>
          <w14:ligatures w14:val="none"/>
        </w:rPr>
        <w:t>1999</w:t>
      </w:r>
      <w:r w:rsidRPr="00C30290">
        <w:rPr>
          <w:rFonts w:eastAsia="Times New Roman" w:cstheme="minorHAnsi"/>
          <w:color w:val="000000"/>
          <w:kern w:val="0"/>
          <w:lang w:eastAsia="en-GB"/>
          <w14:ligatures w14:val="none"/>
        </w:rPr>
        <w:t>;12(</w:t>
      </w:r>
      <w:proofErr w:type="spellStart"/>
      <w:r w:rsidRPr="00C30290">
        <w:rPr>
          <w:rFonts w:eastAsia="Times New Roman" w:cstheme="minorHAnsi"/>
          <w:color w:val="000000"/>
          <w:kern w:val="0"/>
          <w:lang w:eastAsia="en-GB"/>
          <w14:ligatures w14:val="none"/>
        </w:rPr>
        <w:t>Suppl</w:t>
      </w:r>
      <w:proofErr w:type="spellEnd"/>
      <w:r w:rsidRPr="00C30290">
        <w:rPr>
          <w:rFonts w:eastAsia="Times New Roman" w:cstheme="minorHAnsi"/>
          <w:color w:val="000000"/>
          <w:kern w:val="0"/>
          <w:lang w:eastAsia="en-GB"/>
          <w14:ligatures w14:val="none"/>
        </w:rPr>
        <w:t xml:space="preserve"> 1):277–293.</w:t>
      </w:r>
    </w:p>
    <w:p w14:paraId="1ACF3475" w14:textId="77777777" w:rsidR="00693E45" w:rsidRPr="00EC230C" w:rsidRDefault="00693E45" w:rsidP="00693E45">
      <w:pPr>
        <w:rPr>
          <w:rFonts w:eastAsia="Times New Roman" w:cstheme="minorHAnsi"/>
          <w:color w:val="000000"/>
          <w:kern w:val="0"/>
          <w:lang w:eastAsia="en-GB"/>
          <w14:ligatures w14:val="none"/>
        </w:rPr>
      </w:pPr>
    </w:p>
    <w:p w14:paraId="1A1C3809" w14:textId="77777777" w:rsidR="00693E45" w:rsidRDefault="00693E45" w:rsidP="00693E45">
      <w:pPr>
        <w:pStyle w:val="ListParagraph"/>
        <w:numPr>
          <w:ilvl w:val="0"/>
          <w:numId w:val="1"/>
        </w:numPr>
        <w:rPr>
          <w:rFonts w:eastAsia="Times New Roman" w:cstheme="minorHAnsi"/>
          <w:color w:val="000000"/>
          <w:kern w:val="0"/>
          <w:lang w:eastAsia="en-GB"/>
          <w14:ligatures w14:val="none"/>
        </w:rPr>
      </w:pPr>
      <w:r w:rsidRPr="00E3687F">
        <w:rPr>
          <w:rFonts w:eastAsia="Times New Roman" w:cstheme="minorHAnsi"/>
          <w:color w:val="000000"/>
          <w:kern w:val="0"/>
          <w:lang w:eastAsia="en-GB"/>
          <w14:ligatures w14:val="none"/>
        </w:rPr>
        <w:t xml:space="preserve">Gold WA, Sobreira N, </w:t>
      </w:r>
      <w:proofErr w:type="spellStart"/>
      <w:r w:rsidRPr="00E3687F">
        <w:rPr>
          <w:rFonts w:eastAsia="Times New Roman" w:cstheme="minorHAnsi"/>
          <w:color w:val="000000"/>
          <w:kern w:val="0"/>
          <w:lang w:eastAsia="en-GB"/>
          <w14:ligatures w14:val="none"/>
        </w:rPr>
        <w:t>Wiame</w:t>
      </w:r>
      <w:proofErr w:type="spellEnd"/>
      <w:r w:rsidRPr="00E3687F">
        <w:rPr>
          <w:rFonts w:eastAsia="Times New Roman" w:cstheme="minorHAnsi"/>
          <w:color w:val="000000"/>
          <w:kern w:val="0"/>
          <w:lang w:eastAsia="en-GB"/>
          <w14:ligatures w14:val="none"/>
        </w:rPr>
        <w:t xml:space="preserve"> E, et al. A novel mutation in GMPPA</w:t>
      </w:r>
      <w:r>
        <w:rPr>
          <w:rFonts w:eastAsia="Times New Roman" w:cstheme="minorHAnsi"/>
          <w:color w:val="000000"/>
          <w:kern w:val="0"/>
          <w:lang w:eastAsia="en-GB"/>
          <w14:ligatures w14:val="none"/>
        </w:rPr>
        <w:t xml:space="preserve"> </w:t>
      </w:r>
      <w:r w:rsidRPr="00E3687F">
        <w:rPr>
          <w:rFonts w:eastAsia="Times New Roman" w:cstheme="minorHAnsi"/>
          <w:color w:val="000000"/>
          <w:kern w:val="0"/>
          <w:lang w:eastAsia="en-GB"/>
          <w14:ligatures w14:val="none"/>
        </w:rPr>
        <w:t xml:space="preserve">in siblings with apparent intellectual disability, epilepsy, dysmorphism, and autonomic dysfunction. Am J Med Genet A. </w:t>
      </w:r>
      <w:r w:rsidRPr="00E3687F">
        <w:rPr>
          <w:rFonts w:eastAsia="Times New Roman" w:cstheme="minorHAnsi"/>
          <w:color w:val="00006A"/>
          <w:kern w:val="0"/>
          <w:lang w:eastAsia="en-GB"/>
          <w14:ligatures w14:val="none"/>
        </w:rPr>
        <w:t>2017</w:t>
      </w:r>
      <w:r w:rsidRPr="00E3687F">
        <w:rPr>
          <w:rFonts w:eastAsia="Times New Roman" w:cstheme="minorHAnsi"/>
          <w:color w:val="000000"/>
          <w:kern w:val="0"/>
          <w:lang w:eastAsia="en-GB"/>
          <w14:ligatures w14:val="none"/>
        </w:rPr>
        <w:t>;173(8):2246–2250. doi:10.1002/ajmg.a.38292</w:t>
      </w:r>
    </w:p>
    <w:p w14:paraId="479E6857" w14:textId="77777777" w:rsidR="00693E45" w:rsidRPr="00FF1252" w:rsidRDefault="00693E45" w:rsidP="00693E45">
      <w:pPr>
        <w:rPr>
          <w:rFonts w:eastAsia="Times New Roman" w:cstheme="minorHAnsi"/>
          <w:color w:val="000000"/>
          <w:kern w:val="0"/>
          <w:lang w:eastAsia="en-GB"/>
          <w14:ligatures w14:val="none"/>
        </w:rPr>
      </w:pPr>
    </w:p>
    <w:p w14:paraId="2315BEDA" w14:textId="77777777" w:rsidR="00693E45" w:rsidRDefault="00693E45" w:rsidP="00693E45">
      <w:pPr>
        <w:pStyle w:val="ListParagraph"/>
        <w:numPr>
          <w:ilvl w:val="0"/>
          <w:numId w:val="1"/>
        </w:numPr>
        <w:rPr>
          <w:rFonts w:eastAsia="Times New Roman" w:cstheme="minorHAnsi"/>
          <w:color w:val="000000"/>
          <w:kern w:val="0"/>
          <w:lang w:eastAsia="en-GB"/>
          <w14:ligatures w14:val="none"/>
        </w:rPr>
      </w:pPr>
      <w:r w:rsidRPr="00E3687F">
        <w:rPr>
          <w:rFonts w:eastAsia="Times New Roman" w:cstheme="minorHAnsi"/>
          <w:color w:val="000000"/>
          <w:kern w:val="0"/>
          <w:lang w:eastAsia="en-GB"/>
          <w14:ligatures w14:val="none"/>
        </w:rPr>
        <w:t xml:space="preserve">Koehler K, Milev MP, </w:t>
      </w:r>
      <w:proofErr w:type="spellStart"/>
      <w:r w:rsidRPr="00E3687F">
        <w:rPr>
          <w:rFonts w:eastAsia="Times New Roman" w:cstheme="minorHAnsi"/>
          <w:color w:val="000000"/>
          <w:kern w:val="0"/>
          <w:lang w:eastAsia="en-GB"/>
          <w14:ligatures w14:val="none"/>
        </w:rPr>
        <w:t>Prematilake</w:t>
      </w:r>
      <w:proofErr w:type="spellEnd"/>
      <w:r w:rsidRPr="00E3687F">
        <w:rPr>
          <w:rFonts w:eastAsia="Times New Roman" w:cstheme="minorHAnsi"/>
          <w:color w:val="000000"/>
          <w:kern w:val="0"/>
          <w:lang w:eastAsia="en-GB"/>
          <w14:ligatures w14:val="none"/>
        </w:rPr>
        <w:t xml:space="preserve"> K, et al. A novel TRAPPC11</w:t>
      </w:r>
      <w:r>
        <w:rPr>
          <w:rFonts w:eastAsia="Times New Roman" w:cstheme="minorHAnsi"/>
          <w:color w:val="000000"/>
          <w:kern w:val="0"/>
          <w:lang w:eastAsia="en-GB"/>
          <w14:ligatures w14:val="none"/>
        </w:rPr>
        <w:t xml:space="preserve"> </w:t>
      </w:r>
      <w:r w:rsidRPr="00E3687F">
        <w:rPr>
          <w:rFonts w:eastAsia="Times New Roman" w:cstheme="minorHAnsi"/>
          <w:color w:val="000000"/>
          <w:kern w:val="0"/>
          <w:lang w:eastAsia="en-GB"/>
          <w14:ligatures w14:val="none"/>
        </w:rPr>
        <w:t>mutation in two Turkish families associated with cerebral atrophy,</w:t>
      </w:r>
      <w:r>
        <w:rPr>
          <w:rFonts w:eastAsia="Times New Roman" w:cstheme="minorHAnsi"/>
          <w:color w:val="000000"/>
          <w:kern w:val="0"/>
          <w:lang w:eastAsia="en-GB"/>
          <w14:ligatures w14:val="none"/>
        </w:rPr>
        <w:t xml:space="preserve"> </w:t>
      </w:r>
      <w:r w:rsidRPr="00E3687F">
        <w:rPr>
          <w:rFonts w:eastAsia="Times New Roman" w:cstheme="minorHAnsi"/>
          <w:color w:val="000000"/>
          <w:kern w:val="0"/>
          <w:lang w:eastAsia="en-GB"/>
          <w14:ligatures w14:val="none"/>
        </w:rPr>
        <w:t xml:space="preserve">global retardation, scoliosis, achalasia and </w:t>
      </w:r>
      <w:proofErr w:type="spellStart"/>
      <w:r w:rsidRPr="00E3687F">
        <w:rPr>
          <w:rFonts w:eastAsia="Times New Roman" w:cstheme="minorHAnsi"/>
          <w:color w:val="000000"/>
          <w:kern w:val="0"/>
          <w:lang w:eastAsia="en-GB"/>
          <w14:ligatures w14:val="none"/>
        </w:rPr>
        <w:t>alacrima</w:t>
      </w:r>
      <w:proofErr w:type="spellEnd"/>
      <w:r w:rsidRPr="00E3687F">
        <w:rPr>
          <w:rFonts w:eastAsia="Times New Roman" w:cstheme="minorHAnsi"/>
          <w:color w:val="000000"/>
          <w:kern w:val="0"/>
          <w:lang w:eastAsia="en-GB"/>
          <w14:ligatures w14:val="none"/>
        </w:rPr>
        <w:t>. J Med Genet.</w:t>
      </w:r>
      <w:r w:rsidRPr="00E3687F">
        <w:rPr>
          <w:rFonts w:eastAsia="Times New Roman" w:cstheme="minorHAnsi"/>
          <w:color w:val="00006A"/>
          <w:kern w:val="0"/>
          <w:lang w:eastAsia="en-GB"/>
          <w14:ligatures w14:val="none"/>
        </w:rPr>
        <w:t>2017</w:t>
      </w:r>
      <w:r w:rsidRPr="00E3687F">
        <w:rPr>
          <w:rFonts w:eastAsia="Times New Roman" w:cstheme="minorHAnsi"/>
          <w:color w:val="000000"/>
          <w:kern w:val="0"/>
          <w:lang w:eastAsia="en-GB"/>
          <w14:ligatures w14:val="none"/>
        </w:rPr>
        <w:t>;54(3):176–185. doi:10.1136/jmedgenet-2016-104108</w:t>
      </w:r>
    </w:p>
    <w:p w14:paraId="14478498" w14:textId="77777777" w:rsidR="00693E45" w:rsidRPr="00EC230C" w:rsidRDefault="00693E45" w:rsidP="00693E45">
      <w:pPr>
        <w:pStyle w:val="ListParagraph"/>
        <w:rPr>
          <w:rFonts w:eastAsia="Times New Roman" w:cstheme="minorHAnsi"/>
          <w:color w:val="000000"/>
          <w:kern w:val="0"/>
          <w:lang w:eastAsia="en-GB"/>
          <w14:ligatures w14:val="none"/>
        </w:rPr>
      </w:pPr>
    </w:p>
    <w:p w14:paraId="16B67511" w14:textId="77777777" w:rsidR="00693E45" w:rsidRDefault="00693E45" w:rsidP="00693E45">
      <w:pPr>
        <w:pStyle w:val="ListParagraph"/>
        <w:numPr>
          <w:ilvl w:val="0"/>
          <w:numId w:val="1"/>
        </w:numPr>
        <w:rPr>
          <w:rFonts w:eastAsia="Times New Roman" w:cstheme="minorHAnsi"/>
          <w:color w:val="000000"/>
          <w:kern w:val="0"/>
          <w:lang w:eastAsia="en-GB"/>
          <w14:ligatures w14:val="none"/>
        </w:rPr>
      </w:pPr>
      <w:proofErr w:type="spellStart"/>
      <w:r w:rsidRPr="009456B6">
        <w:rPr>
          <w:rFonts w:eastAsia="Times New Roman" w:cstheme="minorHAnsi"/>
          <w:color w:val="000000"/>
          <w:kern w:val="0"/>
          <w:lang w:eastAsia="en-GB"/>
          <w14:ligatures w14:val="none"/>
        </w:rPr>
        <w:t>Parhizkar</w:t>
      </w:r>
      <w:proofErr w:type="spellEnd"/>
      <w:r w:rsidRPr="009456B6">
        <w:rPr>
          <w:rFonts w:eastAsia="Times New Roman" w:cstheme="minorHAnsi"/>
          <w:color w:val="000000"/>
          <w:kern w:val="0"/>
          <w:lang w:eastAsia="en-GB"/>
          <w14:ligatures w14:val="none"/>
        </w:rPr>
        <w:t xml:space="preserve"> B, </w:t>
      </w:r>
      <w:proofErr w:type="spellStart"/>
      <w:r w:rsidRPr="009456B6">
        <w:rPr>
          <w:rFonts w:eastAsia="Times New Roman" w:cstheme="minorHAnsi"/>
          <w:color w:val="000000"/>
          <w:kern w:val="0"/>
          <w:lang w:eastAsia="en-GB"/>
          <w14:ligatures w14:val="none"/>
        </w:rPr>
        <w:t>Maghsoodi</w:t>
      </w:r>
      <w:proofErr w:type="spellEnd"/>
      <w:r w:rsidRPr="009456B6">
        <w:rPr>
          <w:rFonts w:eastAsia="Times New Roman" w:cstheme="minorHAnsi"/>
          <w:color w:val="000000"/>
          <w:kern w:val="0"/>
          <w:lang w:eastAsia="en-GB"/>
          <w14:ligatures w14:val="none"/>
        </w:rPr>
        <w:t xml:space="preserve"> N, </w:t>
      </w:r>
      <w:proofErr w:type="spellStart"/>
      <w:r w:rsidRPr="009456B6">
        <w:rPr>
          <w:rFonts w:eastAsia="Times New Roman" w:cstheme="minorHAnsi"/>
          <w:color w:val="000000"/>
          <w:kern w:val="0"/>
          <w:lang w:eastAsia="en-GB"/>
          <w14:ligatures w14:val="none"/>
        </w:rPr>
        <w:t>Forootan</w:t>
      </w:r>
      <w:proofErr w:type="spellEnd"/>
      <w:r w:rsidRPr="009456B6">
        <w:rPr>
          <w:rFonts w:eastAsia="Times New Roman" w:cstheme="minorHAnsi"/>
          <w:color w:val="000000"/>
          <w:kern w:val="0"/>
          <w:lang w:eastAsia="en-GB"/>
          <w14:ligatures w14:val="none"/>
        </w:rPr>
        <w:t xml:space="preserve"> M, Entezari AH. A 12 year old</w:t>
      </w:r>
      <w:r>
        <w:rPr>
          <w:rFonts w:eastAsia="Times New Roman" w:cstheme="minorHAnsi"/>
          <w:color w:val="000000"/>
          <w:kern w:val="0"/>
          <w:lang w:eastAsia="en-GB"/>
          <w14:ligatures w14:val="none"/>
        </w:rPr>
        <w:t xml:space="preserve"> </w:t>
      </w:r>
      <w:r w:rsidRPr="009456B6">
        <w:rPr>
          <w:rFonts w:eastAsia="Times New Roman" w:cstheme="minorHAnsi"/>
          <w:color w:val="000000"/>
          <w:kern w:val="0"/>
          <w:lang w:eastAsia="en-GB"/>
          <w14:ligatures w14:val="none"/>
        </w:rPr>
        <w:t>boy with recurrent episodes of pneumonia: triple A syndrome.</w:t>
      </w:r>
      <w:r>
        <w:rPr>
          <w:rFonts w:eastAsia="Times New Roman" w:cstheme="minorHAnsi"/>
          <w:color w:val="000000"/>
          <w:kern w:val="0"/>
          <w:lang w:eastAsia="en-GB"/>
          <w14:ligatures w14:val="none"/>
        </w:rPr>
        <w:t xml:space="preserve"> </w:t>
      </w:r>
      <w:r w:rsidRPr="009456B6">
        <w:rPr>
          <w:rFonts w:eastAsia="Times New Roman" w:cstheme="minorHAnsi"/>
          <w:color w:val="000000"/>
          <w:kern w:val="0"/>
          <w:lang w:eastAsia="en-GB"/>
          <w14:ligatures w14:val="none"/>
        </w:rPr>
        <w:t xml:space="preserve">Gastroenterol Hepatol Bed Bench. Spring </w:t>
      </w:r>
      <w:r w:rsidRPr="009456B6">
        <w:rPr>
          <w:rFonts w:eastAsia="Times New Roman" w:cstheme="minorHAnsi"/>
          <w:color w:val="00006A"/>
          <w:kern w:val="0"/>
          <w:lang w:eastAsia="en-GB"/>
          <w14:ligatures w14:val="none"/>
        </w:rPr>
        <w:t>2012</w:t>
      </w:r>
      <w:r w:rsidRPr="009456B6">
        <w:rPr>
          <w:rFonts w:eastAsia="Times New Roman" w:cstheme="minorHAnsi"/>
          <w:color w:val="000000"/>
          <w:kern w:val="0"/>
          <w:lang w:eastAsia="en-GB"/>
          <w14:ligatures w14:val="none"/>
        </w:rPr>
        <w:t>;5(2):112–115.</w:t>
      </w:r>
    </w:p>
    <w:p w14:paraId="70B5C957" w14:textId="77777777" w:rsidR="00693E45" w:rsidRPr="00EC230C" w:rsidRDefault="00693E45" w:rsidP="00693E45">
      <w:pPr>
        <w:rPr>
          <w:rFonts w:eastAsia="Times New Roman" w:cstheme="minorHAnsi"/>
          <w:color w:val="000000"/>
          <w:kern w:val="0"/>
          <w:lang w:eastAsia="en-GB"/>
          <w14:ligatures w14:val="none"/>
        </w:rPr>
      </w:pPr>
    </w:p>
    <w:p w14:paraId="08FA0957" w14:textId="77777777" w:rsidR="00693E45" w:rsidRDefault="00693E45" w:rsidP="00693E45">
      <w:pPr>
        <w:pStyle w:val="ListParagraph"/>
        <w:numPr>
          <w:ilvl w:val="0"/>
          <w:numId w:val="1"/>
        </w:numPr>
        <w:rPr>
          <w:rFonts w:eastAsia="Times New Roman" w:cstheme="minorHAnsi"/>
          <w:color w:val="000000"/>
          <w:kern w:val="0"/>
          <w:lang w:eastAsia="en-GB"/>
          <w14:ligatures w14:val="none"/>
        </w:rPr>
      </w:pPr>
      <w:r w:rsidRPr="00010206">
        <w:rPr>
          <w:rFonts w:eastAsia="Times New Roman" w:cstheme="minorHAnsi"/>
          <w:color w:val="000000"/>
          <w:kern w:val="0"/>
          <w:lang w:eastAsia="en-GB"/>
          <w14:ligatures w14:val="none"/>
        </w:rPr>
        <w:t>Bizzarri C, Benevento D, Terzi C, Huebner A, Cappa M. Triple A</w:t>
      </w:r>
      <w:r>
        <w:rPr>
          <w:rFonts w:eastAsia="Times New Roman" w:cstheme="minorHAnsi"/>
          <w:color w:val="000000"/>
          <w:kern w:val="0"/>
          <w:lang w:eastAsia="en-GB"/>
          <w14:ligatures w14:val="none"/>
        </w:rPr>
        <w:t xml:space="preserve"> </w:t>
      </w:r>
      <w:r w:rsidRPr="00010206">
        <w:rPr>
          <w:rFonts w:eastAsia="Times New Roman" w:cstheme="minorHAnsi"/>
          <w:color w:val="000000"/>
          <w:kern w:val="0"/>
          <w:lang w:eastAsia="en-GB"/>
          <w14:ligatures w14:val="none"/>
        </w:rPr>
        <w:t xml:space="preserve">(Allgrove) syndrome: an unusual association with syringomyelia. </w:t>
      </w:r>
      <w:proofErr w:type="spellStart"/>
      <w:r w:rsidRPr="00010206">
        <w:rPr>
          <w:rFonts w:eastAsia="Times New Roman" w:cstheme="minorHAnsi"/>
          <w:color w:val="000000"/>
          <w:kern w:val="0"/>
          <w:lang w:eastAsia="en-GB"/>
          <w14:ligatures w14:val="none"/>
        </w:rPr>
        <w:t>ItalJ</w:t>
      </w:r>
      <w:proofErr w:type="spellEnd"/>
      <w:r w:rsidRPr="00010206">
        <w:rPr>
          <w:rFonts w:eastAsia="Times New Roman" w:cstheme="minorHAnsi"/>
          <w:color w:val="000000"/>
          <w:kern w:val="0"/>
          <w:lang w:eastAsia="en-GB"/>
          <w14:ligatures w14:val="none"/>
        </w:rPr>
        <w:t xml:space="preserve"> </w:t>
      </w:r>
      <w:proofErr w:type="spellStart"/>
      <w:r w:rsidRPr="00010206">
        <w:rPr>
          <w:rFonts w:eastAsia="Times New Roman" w:cstheme="minorHAnsi"/>
          <w:color w:val="000000"/>
          <w:kern w:val="0"/>
          <w:lang w:eastAsia="en-GB"/>
          <w14:ligatures w14:val="none"/>
        </w:rPr>
        <w:t>Pediatr</w:t>
      </w:r>
      <w:proofErr w:type="spellEnd"/>
      <w:r w:rsidRPr="00010206">
        <w:rPr>
          <w:rFonts w:eastAsia="Times New Roman" w:cstheme="minorHAnsi"/>
          <w:color w:val="000000"/>
          <w:kern w:val="0"/>
          <w:lang w:eastAsia="en-GB"/>
          <w14:ligatures w14:val="none"/>
        </w:rPr>
        <w:t xml:space="preserve">. </w:t>
      </w:r>
      <w:r w:rsidRPr="00010206">
        <w:rPr>
          <w:rFonts w:eastAsia="Times New Roman" w:cstheme="minorHAnsi"/>
          <w:color w:val="00006A"/>
          <w:kern w:val="0"/>
          <w:lang w:eastAsia="en-GB"/>
          <w14:ligatures w14:val="none"/>
        </w:rPr>
        <w:t>2013</w:t>
      </w:r>
      <w:r w:rsidRPr="00010206">
        <w:rPr>
          <w:rFonts w:eastAsia="Times New Roman" w:cstheme="minorHAnsi"/>
          <w:color w:val="000000"/>
          <w:kern w:val="0"/>
          <w:lang w:eastAsia="en-GB"/>
          <w14:ligatures w14:val="none"/>
        </w:rPr>
        <w:t>;39:39. doi:10.1186/1824-7288-39-39</w:t>
      </w:r>
    </w:p>
    <w:p w14:paraId="7B45164F" w14:textId="77777777" w:rsidR="00693E45" w:rsidRPr="00EC230C" w:rsidRDefault="00693E45" w:rsidP="00693E45">
      <w:pPr>
        <w:pStyle w:val="ListParagraph"/>
        <w:rPr>
          <w:rFonts w:cstheme="minorHAnsi"/>
          <w:color w:val="1B1B1B"/>
          <w:shd w:val="clear" w:color="auto" w:fill="FFFFFF"/>
        </w:rPr>
      </w:pPr>
    </w:p>
    <w:p w14:paraId="2475CE63" w14:textId="77777777" w:rsidR="00693E45" w:rsidRPr="00F309FB" w:rsidRDefault="00693E45" w:rsidP="00693E45">
      <w:pPr>
        <w:pStyle w:val="ListParagraph"/>
        <w:numPr>
          <w:ilvl w:val="0"/>
          <w:numId w:val="1"/>
        </w:numPr>
        <w:rPr>
          <w:rFonts w:eastAsia="Times New Roman" w:cstheme="minorHAnsi"/>
          <w:color w:val="000000"/>
          <w:kern w:val="0"/>
          <w:lang w:eastAsia="en-GB"/>
          <w14:ligatures w14:val="none"/>
        </w:rPr>
      </w:pPr>
      <w:r w:rsidRPr="00F309FB">
        <w:rPr>
          <w:rFonts w:cstheme="minorHAnsi"/>
          <w:color w:val="1B1B1B"/>
          <w:shd w:val="clear" w:color="auto" w:fill="FFFFFF"/>
        </w:rPr>
        <w:t xml:space="preserve">Kinjo S, Takemoto M, Miyako K, Kohno H, Tanaka T, Katsumata N. Two cases of Allgrove syndrome with mutations in the AAAS gene. </w:t>
      </w:r>
      <w:proofErr w:type="spellStart"/>
      <w:r w:rsidRPr="00F309FB">
        <w:rPr>
          <w:rFonts w:cstheme="minorHAnsi"/>
          <w:color w:val="1B1B1B"/>
          <w:shd w:val="clear" w:color="auto" w:fill="FFFFFF"/>
        </w:rPr>
        <w:t>Endocr</w:t>
      </w:r>
      <w:proofErr w:type="spellEnd"/>
      <w:r w:rsidRPr="00F309FB">
        <w:rPr>
          <w:rFonts w:cstheme="minorHAnsi"/>
          <w:color w:val="1B1B1B"/>
          <w:shd w:val="clear" w:color="auto" w:fill="FFFFFF"/>
        </w:rPr>
        <w:t xml:space="preserve"> J. 2004 Oct;51(5):473-7. </w:t>
      </w:r>
      <w:proofErr w:type="spellStart"/>
      <w:r w:rsidRPr="00F309FB">
        <w:rPr>
          <w:rFonts w:cstheme="minorHAnsi"/>
          <w:color w:val="1B1B1B"/>
          <w:shd w:val="clear" w:color="auto" w:fill="FFFFFF"/>
        </w:rPr>
        <w:t>doi</w:t>
      </w:r>
      <w:proofErr w:type="spellEnd"/>
      <w:r w:rsidRPr="00F309FB">
        <w:rPr>
          <w:rFonts w:cstheme="minorHAnsi"/>
          <w:color w:val="1B1B1B"/>
          <w:shd w:val="clear" w:color="auto" w:fill="FFFFFF"/>
        </w:rPr>
        <w:t>: 10.1507/endocrj.51.473. PMID: 15516781.</w:t>
      </w:r>
    </w:p>
    <w:p w14:paraId="567B5ED7" w14:textId="77777777" w:rsidR="00693E45" w:rsidRDefault="00693E45" w:rsidP="00693E45">
      <w:pPr>
        <w:pStyle w:val="ListParagraph"/>
        <w:rPr>
          <w:rFonts w:cstheme="minorHAnsi"/>
          <w:color w:val="1B1B1B"/>
          <w:shd w:val="clear" w:color="auto" w:fill="FFFFFF"/>
        </w:rPr>
      </w:pPr>
    </w:p>
    <w:p w14:paraId="75698C02" w14:textId="77777777" w:rsidR="009E25C6" w:rsidRDefault="009E25C6" w:rsidP="00693E45">
      <w:pPr>
        <w:pStyle w:val="ListParagraph"/>
        <w:rPr>
          <w:rFonts w:cstheme="minorHAnsi"/>
          <w:color w:val="1B1B1B"/>
          <w:shd w:val="clear" w:color="auto" w:fill="FFFFFF"/>
        </w:rPr>
      </w:pPr>
    </w:p>
    <w:p w14:paraId="0C0A6FA0" w14:textId="63FF10B1" w:rsidR="009E25C6" w:rsidRPr="009E25C6" w:rsidRDefault="009E25C6" w:rsidP="009E25C6">
      <w:pPr>
        <w:rPr>
          <w:lang w:val="en-US"/>
        </w:rPr>
      </w:pPr>
      <w:proofErr w:type="gramStart"/>
      <w:r w:rsidRPr="009E25C6">
        <w:rPr>
          <w:lang w:val="en-US"/>
        </w:rPr>
        <w:t xml:space="preserve">ABBREVIATIONS </w:t>
      </w:r>
      <w:r>
        <w:rPr>
          <w:lang w:val="en-US"/>
        </w:rPr>
        <w:t>:</w:t>
      </w:r>
      <w:proofErr w:type="gramEnd"/>
      <w:r>
        <w:rPr>
          <w:lang w:val="en-US"/>
        </w:rPr>
        <w:t xml:space="preserve"> (Table 2)</w:t>
      </w:r>
    </w:p>
    <w:p w14:paraId="07690CD1" w14:textId="77777777" w:rsidR="009E25C6" w:rsidRDefault="009E25C6" w:rsidP="009E25C6">
      <w:pPr>
        <w:pStyle w:val="ListParagraph"/>
        <w:rPr>
          <w:lang w:val="en-US"/>
        </w:rPr>
      </w:pPr>
    </w:p>
    <w:tbl>
      <w:tblPr>
        <w:tblStyle w:val="TableGrid"/>
        <w:tblW w:w="0" w:type="auto"/>
        <w:tblLook w:val="04A0" w:firstRow="1" w:lastRow="0" w:firstColumn="1" w:lastColumn="0" w:noHBand="0" w:noVBand="1"/>
      </w:tblPr>
      <w:tblGrid>
        <w:gridCol w:w="4508"/>
        <w:gridCol w:w="4508"/>
      </w:tblGrid>
      <w:tr w:rsidR="009E25C6" w14:paraId="54379FA8" w14:textId="77777777" w:rsidTr="00520481">
        <w:tc>
          <w:tcPr>
            <w:tcW w:w="4508" w:type="dxa"/>
          </w:tcPr>
          <w:p w14:paraId="641D7089" w14:textId="77777777" w:rsidR="009E25C6" w:rsidRDefault="009E25C6" w:rsidP="00520481">
            <w:pPr>
              <w:rPr>
                <w:lang w:val="en-US"/>
              </w:rPr>
            </w:pPr>
            <w:r>
              <w:rPr>
                <w:lang w:val="en-US"/>
              </w:rPr>
              <w:t>AAA</w:t>
            </w:r>
          </w:p>
        </w:tc>
        <w:tc>
          <w:tcPr>
            <w:tcW w:w="4508" w:type="dxa"/>
          </w:tcPr>
          <w:p w14:paraId="587323F7" w14:textId="77777777" w:rsidR="009E25C6" w:rsidRDefault="009E25C6" w:rsidP="00520481">
            <w:pPr>
              <w:rPr>
                <w:lang w:val="en-US"/>
              </w:rPr>
            </w:pPr>
            <w:r>
              <w:rPr>
                <w:lang w:val="en-US"/>
              </w:rPr>
              <w:t>Triple A Syndrome</w:t>
            </w:r>
          </w:p>
        </w:tc>
      </w:tr>
      <w:tr w:rsidR="009E25C6" w14:paraId="1BC9908A" w14:textId="77777777" w:rsidTr="00520481">
        <w:tc>
          <w:tcPr>
            <w:tcW w:w="4508" w:type="dxa"/>
          </w:tcPr>
          <w:p w14:paraId="74F4E391" w14:textId="77777777" w:rsidR="009E25C6" w:rsidRDefault="009E25C6" w:rsidP="00520481">
            <w:pPr>
              <w:rPr>
                <w:lang w:val="en-US"/>
              </w:rPr>
            </w:pPr>
            <w:r>
              <w:rPr>
                <w:lang w:val="en-US"/>
              </w:rPr>
              <w:t>PAI</w:t>
            </w:r>
          </w:p>
        </w:tc>
        <w:tc>
          <w:tcPr>
            <w:tcW w:w="4508" w:type="dxa"/>
          </w:tcPr>
          <w:p w14:paraId="71CB3552" w14:textId="77777777" w:rsidR="009E25C6" w:rsidRDefault="009E25C6" w:rsidP="00520481">
            <w:pPr>
              <w:rPr>
                <w:lang w:val="en-US"/>
              </w:rPr>
            </w:pPr>
            <w:r>
              <w:rPr>
                <w:lang w:val="en-US"/>
              </w:rPr>
              <w:t>Primary Adrenal Insufficiency</w:t>
            </w:r>
          </w:p>
        </w:tc>
      </w:tr>
      <w:tr w:rsidR="009E25C6" w14:paraId="2F62FB75" w14:textId="77777777" w:rsidTr="00520481">
        <w:tc>
          <w:tcPr>
            <w:tcW w:w="4508" w:type="dxa"/>
          </w:tcPr>
          <w:p w14:paraId="1EBABA74" w14:textId="77777777" w:rsidR="009E25C6" w:rsidRDefault="009E25C6" w:rsidP="00520481">
            <w:pPr>
              <w:rPr>
                <w:lang w:val="en-US"/>
              </w:rPr>
            </w:pPr>
            <w:r>
              <w:rPr>
                <w:lang w:val="en-US"/>
              </w:rPr>
              <w:t>VUS</w:t>
            </w:r>
          </w:p>
        </w:tc>
        <w:tc>
          <w:tcPr>
            <w:tcW w:w="4508" w:type="dxa"/>
          </w:tcPr>
          <w:p w14:paraId="7C8FB014" w14:textId="77777777" w:rsidR="009E25C6" w:rsidRDefault="009E25C6" w:rsidP="00520481">
            <w:pPr>
              <w:rPr>
                <w:lang w:val="en-US"/>
              </w:rPr>
            </w:pPr>
            <w:r>
              <w:rPr>
                <w:lang w:val="en-US"/>
              </w:rPr>
              <w:t>Variant of Uncertain Significance</w:t>
            </w:r>
          </w:p>
        </w:tc>
      </w:tr>
      <w:tr w:rsidR="009E25C6" w14:paraId="0C123348" w14:textId="77777777" w:rsidTr="00520481">
        <w:tc>
          <w:tcPr>
            <w:tcW w:w="4508" w:type="dxa"/>
          </w:tcPr>
          <w:p w14:paraId="03558BA7" w14:textId="77777777" w:rsidR="009E25C6" w:rsidRDefault="009E25C6" w:rsidP="00520481">
            <w:pPr>
              <w:rPr>
                <w:lang w:val="en-US"/>
              </w:rPr>
            </w:pPr>
            <w:r>
              <w:rPr>
                <w:lang w:val="en-US"/>
              </w:rPr>
              <w:t>ACTH</w:t>
            </w:r>
          </w:p>
        </w:tc>
        <w:tc>
          <w:tcPr>
            <w:tcW w:w="4508" w:type="dxa"/>
          </w:tcPr>
          <w:p w14:paraId="03DB3879" w14:textId="77777777" w:rsidR="009E25C6" w:rsidRDefault="009E25C6" w:rsidP="00520481">
            <w:pPr>
              <w:rPr>
                <w:lang w:val="en-US"/>
              </w:rPr>
            </w:pPr>
            <w:r>
              <w:rPr>
                <w:lang w:val="en-US"/>
              </w:rPr>
              <w:t xml:space="preserve">Adrenocorticotrophic hormone </w:t>
            </w:r>
          </w:p>
        </w:tc>
      </w:tr>
      <w:tr w:rsidR="009E25C6" w14:paraId="6DC44695" w14:textId="77777777" w:rsidTr="00520481">
        <w:tc>
          <w:tcPr>
            <w:tcW w:w="4508" w:type="dxa"/>
          </w:tcPr>
          <w:p w14:paraId="314602E9" w14:textId="77777777" w:rsidR="009E25C6" w:rsidRDefault="009E25C6" w:rsidP="00520481">
            <w:pPr>
              <w:rPr>
                <w:lang w:val="en-US"/>
              </w:rPr>
            </w:pPr>
            <w:r>
              <w:rPr>
                <w:lang w:val="en-US"/>
              </w:rPr>
              <w:t>RAAS</w:t>
            </w:r>
          </w:p>
        </w:tc>
        <w:tc>
          <w:tcPr>
            <w:tcW w:w="4508" w:type="dxa"/>
          </w:tcPr>
          <w:p w14:paraId="65EA6F7F" w14:textId="77777777" w:rsidR="009E25C6" w:rsidRDefault="009E25C6" w:rsidP="00520481">
            <w:pPr>
              <w:rPr>
                <w:lang w:val="en-US"/>
              </w:rPr>
            </w:pPr>
            <w:r>
              <w:rPr>
                <w:lang w:val="en-US"/>
              </w:rPr>
              <w:t>Renin Angiotensin Aldosterone System</w:t>
            </w:r>
          </w:p>
        </w:tc>
      </w:tr>
      <w:tr w:rsidR="009E25C6" w14:paraId="2D841401" w14:textId="77777777" w:rsidTr="00520481">
        <w:tc>
          <w:tcPr>
            <w:tcW w:w="4508" w:type="dxa"/>
          </w:tcPr>
          <w:p w14:paraId="1DD4AE1A" w14:textId="77777777" w:rsidR="009E25C6" w:rsidRDefault="009E25C6" w:rsidP="00520481">
            <w:pPr>
              <w:rPr>
                <w:lang w:val="en-US"/>
              </w:rPr>
            </w:pPr>
            <w:r>
              <w:rPr>
                <w:lang w:val="en-US"/>
              </w:rPr>
              <w:t>CT</w:t>
            </w:r>
          </w:p>
        </w:tc>
        <w:tc>
          <w:tcPr>
            <w:tcW w:w="4508" w:type="dxa"/>
          </w:tcPr>
          <w:p w14:paraId="0327EB8C" w14:textId="77777777" w:rsidR="009E25C6" w:rsidRDefault="009E25C6" w:rsidP="00520481">
            <w:pPr>
              <w:rPr>
                <w:lang w:val="en-US"/>
              </w:rPr>
            </w:pPr>
            <w:r>
              <w:rPr>
                <w:lang w:val="en-US"/>
              </w:rPr>
              <w:t>Computed Tomography</w:t>
            </w:r>
          </w:p>
        </w:tc>
      </w:tr>
      <w:tr w:rsidR="009E25C6" w14:paraId="130908A0" w14:textId="77777777" w:rsidTr="00520481">
        <w:tc>
          <w:tcPr>
            <w:tcW w:w="4508" w:type="dxa"/>
          </w:tcPr>
          <w:p w14:paraId="3F004268" w14:textId="77777777" w:rsidR="009E25C6" w:rsidRDefault="009E25C6" w:rsidP="00520481">
            <w:pPr>
              <w:rPr>
                <w:lang w:val="en-US"/>
              </w:rPr>
            </w:pPr>
            <w:r>
              <w:rPr>
                <w:lang w:val="en-US"/>
              </w:rPr>
              <w:t>MRI</w:t>
            </w:r>
          </w:p>
        </w:tc>
        <w:tc>
          <w:tcPr>
            <w:tcW w:w="4508" w:type="dxa"/>
          </w:tcPr>
          <w:p w14:paraId="08006AAC" w14:textId="77777777" w:rsidR="009E25C6" w:rsidRDefault="009E25C6" w:rsidP="00520481">
            <w:pPr>
              <w:rPr>
                <w:lang w:val="en-US"/>
              </w:rPr>
            </w:pPr>
            <w:r>
              <w:rPr>
                <w:lang w:val="en-US"/>
              </w:rPr>
              <w:t>Magnetic Resonance Imaging</w:t>
            </w:r>
          </w:p>
        </w:tc>
      </w:tr>
      <w:tr w:rsidR="009E25C6" w14:paraId="1B5549AD" w14:textId="77777777" w:rsidTr="00520481">
        <w:tc>
          <w:tcPr>
            <w:tcW w:w="4508" w:type="dxa"/>
          </w:tcPr>
          <w:p w14:paraId="5C9CA82E" w14:textId="77777777" w:rsidR="009E25C6" w:rsidRDefault="009E25C6" w:rsidP="00520481">
            <w:pPr>
              <w:rPr>
                <w:lang w:val="en-US"/>
              </w:rPr>
            </w:pPr>
            <w:r>
              <w:rPr>
                <w:lang w:val="en-US"/>
              </w:rPr>
              <w:t>GRV</w:t>
            </w:r>
          </w:p>
        </w:tc>
        <w:tc>
          <w:tcPr>
            <w:tcW w:w="4508" w:type="dxa"/>
          </w:tcPr>
          <w:p w14:paraId="00ECE68C" w14:textId="77777777" w:rsidR="009E25C6" w:rsidRDefault="009E25C6" w:rsidP="00520481">
            <w:pPr>
              <w:rPr>
                <w:lang w:val="en-US"/>
              </w:rPr>
            </w:pPr>
            <w:r>
              <w:rPr>
                <w:lang w:val="en-US"/>
              </w:rPr>
              <w:t>Growth Rate Velocity</w:t>
            </w:r>
          </w:p>
        </w:tc>
      </w:tr>
    </w:tbl>
    <w:p w14:paraId="31F829E5" w14:textId="77777777" w:rsidR="009E25C6" w:rsidRPr="008549BB" w:rsidRDefault="009E25C6" w:rsidP="009E25C6">
      <w:pPr>
        <w:pStyle w:val="ListParagraph"/>
        <w:rPr>
          <w:lang w:val="en-US"/>
        </w:rPr>
      </w:pPr>
    </w:p>
    <w:p w14:paraId="75660836" w14:textId="77777777" w:rsidR="009E25C6" w:rsidRPr="00F309FB" w:rsidRDefault="009E25C6" w:rsidP="00693E45">
      <w:pPr>
        <w:pStyle w:val="ListParagraph"/>
        <w:rPr>
          <w:rFonts w:cstheme="minorHAnsi"/>
          <w:color w:val="1B1B1B"/>
          <w:shd w:val="clear" w:color="auto" w:fill="FFFFFF"/>
        </w:rPr>
      </w:pPr>
    </w:p>
    <w:sectPr w:rsidR="009E25C6" w:rsidRPr="00F309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8141F"/>
    <w:multiLevelType w:val="hybridMultilevel"/>
    <w:tmpl w:val="309649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599918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C20"/>
    <w:rsid w:val="0004768E"/>
    <w:rsid w:val="000E2AA6"/>
    <w:rsid w:val="000E3BB0"/>
    <w:rsid w:val="000E3CDC"/>
    <w:rsid w:val="001D17E1"/>
    <w:rsid w:val="00204F4A"/>
    <w:rsid w:val="00361E6B"/>
    <w:rsid w:val="003A0F01"/>
    <w:rsid w:val="003B418C"/>
    <w:rsid w:val="004163E4"/>
    <w:rsid w:val="00437979"/>
    <w:rsid w:val="00457C20"/>
    <w:rsid w:val="004A5083"/>
    <w:rsid w:val="00514A81"/>
    <w:rsid w:val="00515A0F"/>
    <w:rsid w:val="00693E45"/>
    <w:rsid w:val="006A1055"/>
    <w:rsid w:val="0075752E"/>
    <w:rsid w:val="007A0B19"/>
    <w:rsid w:val="00814FDE"/>
    <w:rsid w:val="009E25C6"/>
    <w:rsid w:val="00A02553"/>
    <w:rsid w:val="00A4153F"/>
    <w:rsid w:val="00AA02E6"/>
    <w:rsid w:val="00B85AC9"/>
    <w:rsid w:val="00BA068E"/>
    <w:rsid w:val="00C16C0B"/>
    <w:rsid w:val="00C6111F"/>
    <w:rsid w:val="00C6668F"/>
    <w:rsid w:val="00D533C7"/>
    <w:rsid w:val="00E278E4"/>
    <w:rsid w:val="00F72BA5"/>
    <w:rsid w:val="00F7716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E2D12BB"/>
  <w15:chartTrackingRefBased/>
  <w15:docId w15:val="{0BBFE988-85CE-0440-86B3-A556F813A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7C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57C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57C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57C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57C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57C2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7C2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7C2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7C2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7C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57C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57C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57C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57C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57C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7C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7C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7C20"/>
    <w:rPr>
      <w:rFonts w:eastAsiaTheme="majorEastAsia" w:cstheme="majorBidi"/>
      <w:color w:val="272727" w:themeColor="text1" w:themeTint="D8"/>
    </w:rPr>
  </w:style>
  <w:style w:type="paragraph" w:styleId="Title">
    <w:name w:val="Title"/>
    <w:basedOn w:val="Normal"/>
    <w:next w:val="Normal"/>
    <w:link w:val="TitleChar"/>
    <w:uiPriority w:val="10"/>
    <w:qFormat/>
    <w:rsid w:val="00457C2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7C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7C2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7C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7C2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57C20"/>
    <w:rPr>
      <w:i/>
      <w:iCs/>
      <w:color w:val="404040" w:themeColor="text1" w:themeTint="BF"/>
    </w:rPr>
  </w:style>
  <w:style w:type="paragraph" w:styleId="ListParagraph">
    <w:name w:val="List Paragraph"/>
    <w:basedOn w:val="Normal"/>
    <w:uiPriority w:val="34"/>
    <w:qFormat/>
    <w:rsid w:val="00457C20"/>
    <w:pPr>
      <w:ind w:left="720"/>
      <w:contextualSpacing/>
    </w:pPr>
  </w:style>
  <w:style w:type="character" w:styleId="IntenseEmphasis">
    <w:name w:val="Intense Emphasis"/>
    <w:basedOn w:val="DefaultParagraphFont"/>
    <w:uiPriority w:val="21"/>
    <w:qFormat/>
    <w:rsid w:val="00457C20"/>
    <w:rPr>
      <w:i/>
      <w:iCs/>
      <w:color w:val="2F5496" w:themeColor="accent1" w:themeShade="BF"/>
    </w:rPr>
  </w:style>
  <w:style w:type="paragraph" w:styleId="IntenseQuote">
    <w:name w:val="Intense Quote"/>
    <w:basedOn w:val="Normal"/>
    <w:next w:val="Normal"/>
    <w:link w:val="IntenseQuoteChar"/>
    <w:uiPriority w:val="30"/>
    <w:qFormat/>
    <w:rsid w:val="00457C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57C20"/>
    <w:rPr>
      <w:i/>
      <w:iCs/>
      <w:color w:val="2F5496" w:themeColor="accent1" w:themeShade="BF"/>
    </w:rPr>
  </w:style>
  <w:style w:type="character" w:styleId="IntenseReference">
    <w:name w:val="Intense Reference"/>
    <w:basedOn w:val="DefaultParagraphFont"/>
    <w:uiPriority w:val="32"/>
    <w:qFormat/>
    <w:rsid w:val="00457C20"/>
    <w:rPr>
      <w:b/>
      <w:bCs/>
      <w:smallCaps/>
      <w:color w:val="2F5496" w:themeColor="accent1" w:themeShade="BF"/>
      <w:spacing w:val="5"/>
    </w:rPr>
  </w:style>
  <w:style w:type="character" w:styleId="Emphasis">
    <w:name w:val="Emphasis"/>
    <w:basedOn w:val="DefaultParagraphFont"/>
    <w:uiPriority w:val="20"/>
    <w:qFormat/>
    <w:rsid w:val="00693E45"/>
    <w:rPr>
      <w:i/>
      <w:iCs/>
    </w:rPr>
  </w:style>
  <w:style w:type="table" w:styleId="TableGrid">
    <w:name w:val="Table Grid"/>
    <w:basedOn w:val="TableNormal"/>
    <w:uiPriority w:val="39"/>
    <w:rsid w:val="009E25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1602</Words>
  <Characters>9968</Characters>
  <Application>Microsoft Office Word</Application>
  <DocSecurity>0</DocSecurity>
  <Lines>222</Lines>
  <Paragraphs>75</Paragraphs>
  <ScaleCrop>false</ScaleCrop>
  <Company/>
  <LinksUpToDate>false</LinksUpToDate>
  <CharactersWithSpaces>11490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Urvee Swaika</dc:creator>
  <cp:keywords/>
  <dc:description/>
  <cp:lastModifiedBy>Urvee Swaika</cp:lastModifiedBy>
  <cp:revision>22</cp:revision>
  <dcterms:created xsi:type="dcterms:W3CDTF">2026-02-16T09:00:00Z</dcterms:created>
  <dcterms:modified xsi:type="dcterms:W3CDTF">2026-02-27T04:00:00Z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AE16795E-308D-4010-B3CD-B1A68D72A9F8</vt:lpwstr>
  </property>
</Properties>
</file>