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A0F" w:rsidRDefault="007930D0" w:rsidP="00812A0F">
      <w:pPr>
        <w:pStyle w:val="Standard"/>
        <w:pageBreakBefore/>
        <w:spacing w:before="60" w:line="400" w:lineRule="atLeast"/>
        <w:rPr>
          <w:rFonts w:ascii="Arial" w:hAnsi="Arial"/>
          <w:color w:val="000000"/>
        </w:rPr>
      </w:pPr>
      <w:r>
        <w:rPr>
          <w:rFonts w:ascii="Arial" w:hAnsi="Arial"/>
          <w:noProof/>
          <w:color w:val="000000"/>
          <w:lang w:val="en-US" w:eastAsia="en-US"/>
        </w:rPr>
        <mc:AlternateContent>
          <mc:Choice Requires="wps">
            <w:drawing>
              <wp:anchor distT="0" distB="0" distL="114300" distR="114300" simplePos="0" relativeHeight="251663360" behindDoc="1" locked="0" layoutInCell="1" allowOverlap="1" wp14:anchorId="52499DF0" wp14:editId="6D3CF2D3">
                <wp:simplePos x="0" y="0"/>
                <wp:positionH relativeFrom="column">
                  <wp:posOffset>2495550</wp:posOffset>
                </wp:positionH>
                <wp:positionV relativeFrom="paragraph">
                  <wp:posOffset>-155575</wp:posOffset>
                </wp:positionV>
                <wp:extent cx="1143000" cy="343082"/>
                <wp:effectExtent l="0" t="0" r="0" b="0"/>
                <wp:wrapNone/>
                <wp:docPr id="4" name="Frame4"/>
                <wp:cNvGraphicFramePr/>
                <a:graphic xmlns:a="http://schemas.openxmlformats.org/drawingml/2006/main">
                  <a:graphicData uri="http://schemas.microsoft.com/office/word/2010/wordprocessingShape">
                    <wps:wsp>
                      <wps:cNvSpPr txBox="1"/>
                      <wps:spPr>
                        <a:xfrm>
                          <a:off x="0" y="0"/>
                          <a:ext cx="1143000" cy="343082"/>
                        </a:xfrm>
                        <a:prstGeom prst="rect">
                          <a:avLst/>
                        </a:prstGeom>
                        <a:ln>
                          <a:noFill/>
                          <a:prstDash/>
                        </a:ln>
                      </wps:spPr>
                      <wps:txbx>
                        <w:txbxContent>
                          <w:p w:rsidR="00812A0F" w:rsidRDefault="00812A0F" w:rsidP="00812A0F">
                            <w:pPr>
                              <w:pStyle w:val="Standard"/>
                              <w:jc w:val="right"/>
                            </w:pPr>
                            <w:r>
                              <w:t>Abstract Page</w:t>
                            </w:r>
                          </w:p>
                        </w:txbxContent>
                      </wps:txbx>
                      <wps:bodyPr vert="horz" lIns="100766" tIns="55046" rIns="100766" bIns="55046" compatLnSpc="0">
                        <a:noAutofit/>
                      </wps:bodyPr>
                    </wps:wsp>
                  </a:graphicData>
                </a:graphic>
              </wp:anchor>
            </w:drawing>
          </mc:Choice>
          <mc:Fallback>
            <w:pict>
              <v:shapetype w14:anchorId="52499DF0" id="_x0000_t202" coordsize="21600,21600" o:spt="202" path="m,l,21600r21600,l21600,xe">
                <v:stroke joinstyle="miter"/>
                <v:path gradientshapeok="t" o:connecttype="rect"/>
              </v:shapetype>
              <v:shape id="Frame4" o:spid="_x0000_s1026" type="#_x0000_t202" style="position:absolute;margin-left:196.5pt;margin-top:-12.25pt;width:90pt;height:27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" filled="f" stroked="f">
                <v:textbox inset="2.79906mm,1.52906mm,2.79906mm,1.52906mm">
                  <w:txbxContent>
                    <w:p w:rsidR="00812A0F" w:rsidRDefault="00812A0F" w:rsidP="00812A0F">
                      <w:pPr>
                        <w:pStyle w:val="Standard"/>
                        <w:jc w:val="right"/>
                      </w:pPr>
                      <w:r>
                        <w:t>Abstract Page</w:t>
                      </w:r>
                    </w:p>
                  </w:txbxContent>
                </v:textbox>
              </v:shape>
            </w:pict>
          </mc:Fallback>
        </mc:AlternateContent>
      </w:r>
    </w:p>
    <w:p w:rsidR="00812A0F" w:rsidRDefault="00812A0F" w:rsidP="007930D0">
      <w:pPr>
        <w:pStyle w:val="Standard"/>
        <w:spacing w:before="60" w:line="480" w:lineRule="auto"/>
        <w:rPr>
          <w:rFonts w:ascii="Arial" w:hAnsi="Arial"/>
          <w:color w:val="000000"/>
        </w:rPr>
      </w:pPr>
      <w:r w:rsidRPr="007930D0">
        <w:rPr>
          <w:rFonts w:ascii="Arial" w:hAnsi="Arial"/>
          <w:b/>
          <w:color w:val="000000"/>
        </w:rPr>
        <w:t>Title of the article:</w:t>
      </w:r>
      <w:r w:rsidR="00166C85" w:rsidRPr="00166C85">
        <w:rPr>
          <w:rFonts w:ascii="Arial" w:hAnsi="Arial" w:cs="Arial"/>
          <w:b/>
          <w:color w:val="000000" w:themeColor="text1"/>
        </w:rPr>
        <w:t xml:space="preserve"> </w:t>
      </w:r>
      <w:r w:rsidR="00166C85" w:rsidRPr="00166C85">
        <w:rPr>
          <w:rFonts w:ascii="Arial" w:hAnsi="Arial" w:cs="Arial"/>
          <w:color w:val="000000" w:themeColor="text1"/>
        </w:rPr>
        <w:t>Gender Dysphoria in a 21-Year-Old Individual Assigned Female at birth with Intellectual Disability: A Case Report.</w:t>
      </w:r>
    </w:p>
    <w:p w:rsidR="00812A0F" w:rsidRPr="007930D0" w:rsidRDefault="00812A0F" w:rsidP="00812A0F">
      <w:pPr>
        <w:pStyle w:val="Standard"/>
        <w:spacing w:before="60" w:line="400" w:lineRule="atLeast"/>
        <w:rPr>
          <w:rFonts w:ascii="Arial" w:hAnsi="Arial"/>
          <w:b/>
          <w:color w:val="000000"/>
          <w:lang w:val="en-US"/>
        </w:rPr>
      </w:pPr>
      <w:r w:rsidRPr="007930D0">
        <w:rPr>
          <w:rFonts w:ascii="Arial" w:hAnsi="Arial"/>
          <w:b/>
          <w:color w:val="000000"/>
          <w:lang w:val="en-US"/>
        </w:rPr>
        <w:t>Abstract:</w:t>
      </w:r>
    </w:p>
    <w:p w:rsidR="00812A0F" w:rsidRDefault="00166C85" w:rsidP="00166C85">
      <w:pPr>
        <w:spacing w:before="100" w:beforeAutospacing="1" w:after="100" w:afterAutospacing="1" w:line="360" w:lineRule="auto"/>
        <w:jc w:val="both"/>
        <w:rPr>
          <w:rFonts w:ascii="Arial" w:hAnsi="Arial"/>
          <w:color w:val="000000"/>
        </w:rPr>
      </w:pPr>
      <w:r w:rsidRPr="000565FA">
        <w:rPr>
          <w:rFonts w:ascii="Arial" w:eastAsia="Times New Roman" w:hAnsi="Arial" w:cs="Arial"/>
        </w:rPr>
        <w:t>Gender dysphoria (GD) in individuals with intellectual disability (ID) is underrecognized and poses diagnostic and ethical challenges due to communication limitations and risk of diagnostic overshadowing. We report a 21-year-old individual assigned female at birth with developmental delay who persistently identified as male, accompanied by gender-related distress and functional impairment. Psychometric assessment using the Binet–Kamat Test revealed a mental age of 12 years, consistent with mild–moderate ID. Disability and adaptive functioning scales (IDEAS, WHODAS 2.0, VSMS) confirmed significant functional limitations. The Utrecht Gender Dysphoria Scale indicated moderate dysphoria, while capacity assessment demonstrated adequate understanding and ability to participate in p</w:t>
      </w:r>
      <w:r>
        <w:rPr>
          <w:rFonts w:ascii="Arial" w:eastAsia="Times New Roman" w:hAnsi="Arial" w:cs="Arial"/>
        </w:rPr>
        <w:t xml:space="preserve">sychosocial decisions. A gender affirmative, capacity </w:t>
      </w:r>
      <w:r w:rsidRPr="000565FA">
        <w:rPr>
          <w:rFonts w:ascii="Arial" w:eastAsia="Times New Roman" w:hAnsi="Arial" w:cs="Arial"/>
        </w:rPr>
        <w:t>sensitive approach involving supportive psychotherapy and family psychoeducation resulted in reduced distress and improved family acceptance over 8 weeks. This case highlights that intellectual disability does not preclude stable gender identity and underscores the importance of structured assessment, formal capacity evaluation, and individualized, multidisciplinary management in such complex presentations.</w:t>
      </w:r>
      <w:r>
        <w:rPr>
          <w:rFonts w:ascii="Arial" w:hAnsi="Arial"/>
          <w:color w:val="000000"/>
        </w:rPr>
        <w:t xml:space="preserve"> </w:t>
      </w:r>
    </w:p>
    <w:p w:rsidR="00812A0F" w:rsidRDefault="00812A0F" w:rsidP="00812A0F">
      <w:pPr>
        <w:pStyle w:val="Standard"/>
        <w:spacing w:before="60" w:line="400" w:lineRule="atLeast"/>
        <w:rPr>
          <w:rFonts w:ascii="Arial" w:hAnsi="Arial"/>
          <w:color w:val="000000"/>
        </w:rPr>
      </w:pPr>
      <w:r w:rsidRPr="007930D0">
        <w:rPr>
          <w:rFonts w:ascii="Arial" w:hAnsi="Arial"/>
          <w:b/>
          <w:color w:val="000000"/>
        </w:rPr>
        <w:t>Key-words:</w:t>
      </w:r>
      <w:r w:rsidR="00166C85">
        <w:rPr>
          <w:rFonts w:ascii="Arial" w:hAnsi="Arial"/>
          <w:color w:val="000000"/>
        </w:rPr>
        <w:t xml:space="preserve"> </w:t>
      </w:r>
      <w:r w:rsidR="00166C85" w:rsidRPr="00890BD5">
        <w:rPr>
          <w:rFonts w:ascii="Arial" w:hAnsi="Arial" w:cs="Arial"/>
          <w:color w:val="000000" w:themeColor="text1"/>
        </w:rPr>
        <w:t>Gender Dysphoria, Intellectual Disability, Adaptive Functioning, Psyc</w:t>
      </w:r>
      <w:r w:rsidR="00166C85">
        <w:rPr>
          <w:rFonts w:ascii="Arial" w:hAnsi="Arial" w:cs="Arial"/>
          <w:color w:val="000000" w:themeColor="text1"/>
        </w:rPr>
        <w:t>hometric Assessment, Case Report</w:t>
      </w:r>
    </w:p>
    <w:p w:rsidR="00166C85" w:rsidRPr="007930D0" w:rsidRDefault="00812A0F" w:rsidP="00166C85">
      <w:pPr>
        <w:pStyle w:val="NormalWeb"/>
        <w:suppressAutoHyphens w:val="0"/>
        <w:autoSpaceDN/>
        <w:spacing w:before="100" w:beforeAutospacing="1" w:after="100" w:afterAutospacing="1" w:line="360" w:lineRule="auto"/>
        <w:ind w:left="720" w:firstLine="0"/>
        <w:jc w:val="both"/>
        <w:textAlignment w:val="auto"/>
        <w:rPr>
          <w:rFonts w:ascii="Arial" w:hAnsi="Arial" w:cs="Arial"/>
          <w:b/>
          <w:color w:val="000000" w:themeColor="text1"/>
        </w:rPr>
      </w:pPr>
      <w:r w:rsidRPr="007930D0">
        <w:rPr>
          <w:rFonts w:ascii="Arial" w:hAnsi="Arial"/>
          <w:b/>
          <w:color w:val="000000"/>
        </w:rPr>
        <w:t>Key Messages</w:t>
      </w:r>
      <w:r w:rsidR="00166C85" w:rsidRPr="007930D0">
        <w:rPr>
          <w:b/>
        </w:rPr>
        <w:t xml:space="preserve"> : </w:t>
      </w:r>
    </w:p>
    <w:p w:rsidR="00166C85" w:rsidRPr="00890BD5" w:rsidRDefault="00166C85" w:rsidP="00F51CD1">
      <w:pPr>
        <w:pStyle w:val="NormalWeb"/>
        <w:numPr>
          <w:ilvl w:val="0"/>
          <w:numId w:val="3"/>
        </w:numPr>
        <w:suppressAutoHyphens w:val="0"/>
        <w:autoSpaceDN/>
        <w:spacing w:before="100" w:beforeAutospacing="1" w:after="100" w:afterAutospacing="1"/>
        <w:jc w:val="both"/>
        <w:textAlignment w:val="auto"/>
        <w:rPr>
          <w:rFonts w:ascii="Arial" w:hAnsi="Arial" w:cs="Arial"/>
          <w:color w:val="000000" w:themeColor="text1"/>
        </w:rPr>
      </w:pPr>
      <w:r w:rsidRPr="00890BD5">
        <w:rPr>
          <w:rFonts w:ascii="Arial" w:hAnsi="Arial" w:cs="Arial"/>
          <w:color w:val="000000" w:themeColor="text1"/>
        </w:rPr>
        <w:t>Gender dysphoria can occur in individuals with intellectual disability and should not be dismissed as a manifestation of cognitive impairment.</w:t>
      </w:r>
    </w:p>
    <w:p w:rsidR="00166C85" w:rsidRPr="00890BD5" w:rsidRDefault="00166C85" w:rsidP="00F51CD1">
      <w:pPr>
        <w:pStyle w:val="NormalWeb"/>
        <w:numPr>
          <w:ilvl w:val="0"/>
          <w:numId w:val="3"/>
        </w:numPr>
        <w:suppressAutoHyphens w:val="0"/>
        <w:autoSpaceDN/>
        <w:spacing w:before="100" w:beforeAutospacing="1" w:after="100" w:afterAutospacing="1"/>
        <w:jc w:val="both"/>
        <w:textAlignment w:val="auto"/>
        <w:rPr>
          <w:rFonts w:ascii="Arial" w:hAnsi="Arial" w:cs="Arial"/>
          <w:color w:val="000000" w:themeColor="text1"/>
        </w:rPr>
      </w:pPr>
      <w:r w:rsidRPr="00890BD5">
        <w:rPr>
          <w:rFonts w:ascii="Arial" w:hAnsi="Arial" w:cs="Arial"/>
          <w:color w:val="000000" w:themeColor="text1"/>
        </w:rPr>
        <w:t>Diagnostic clarity requires the use of structured gender-specific, adaptive functioning, and disability assessment tools.</w:t>
      </w:r>
    </w:p>
    <w:p w:rsidR="00166C85" w:rsidRPr="00890BD5" w:rsidRDefault="00166C85" w:rsidP="00F51CD1">
      <w:pPr>
        <w:pStyle w:val="NormalWeb"/>
        <w:numPr>
          <w:ilvl w:val="0"/>
          <w:numId w:val="3"/>
        </w:numPr>
        <w:suppressAutoHyphens w:val="0"/>
        <w:autoSpaceDN/>
        <w:spacing w:before="100" w:beforeAutospacing="1" w:after="100" w:afterAutospacing="1"/>
        <w:jc w:val="both"/>
        <w:textAlignment w:val="auto"/>
        <w:rPr>
          <w:rFonts w:ascii="Arial" w:hAnsi="Arial" w:cs="Arial"/>
          <w:color w:val="000000" w:themeColor="text1"/>
        </w:rPr>
      </w:pPr>
      <w:r w:rsidRPr="00890BD5">
        <w:rPr>
          <w:rFonts w:ascii="Arial" w:hAnsi="Arial" w:cs="Arial"/>
          <w:color w:val="000000" w:themeColor="text1"/>
        </w:rPr>
        <w:t>Gender-affirmative care can be ethically and clinically implemented using supported decision-making models in persons with limited capacity.</w:t>
      </w:r>
    </w:p>
    <w:p w:rsidR="00166C85" w:rsidRPr="00890BD5" w:rsidRDefault="00166C85" w:rsidP="00F51CD1">
      <w:pPr>
        <w:pStyle w:val="NormalWeb"/>
        <w:numPr>
          <w:ilvl w:val="0"/>
          <w:numId w:val="3"/>
        </w:numPr>
        <w:suppressAutoHyphens w:val="0"/>
        <w:autoSpaceDN/>
        <w:spacing w:before="100" w:beforeAutospacing="1" w:after="100" w:afterAutospacing="1"/>
        <w:jc w:val="both"/>
        <w:textAlignment w:val="auto"/>
        <w:rPr>
          <w:rFonts w:ascii="Arial" w:hAnsi="Arial" w:cs="Arial"/>
          <w:color w:val="000000" w:themeColor="text1"/>
        </w:rPr>
      </w:pPr>
      <w:r w:rsidRPr="00890BD5">
        <w:rPr>
          <w:rFonts w:ascii="Arial" w:hAnsi="Arial" w:cs="Arial"/>
          <w:color w:val="000000" w:themeColor="text1"/>
        </w:rPr>
        <w:t>Family psychoeducation is crucial in reducing stigma, improving acceptance, and minimizing secondary psychological distress.</w:t>
      </w:r>
    </w:p>
    <w:p w:rsidR="00F51CD1" w:rsidRPr="00F51CD1" w:rsidRDefault="00166C85" w:rsidP="00F51CD1">
      <w:pPr>
        <w:pStyle w:val="NormalWeb"/>
        <w:numPr>
          <w:ilvl w:val="0"/>
          <w:numId w:val="3"/>
        </w:numPr>
        <w:suppressAutoHyphens w:val="0"/>
        <w:autoSpaceDN/>
        <w:spacing w:before="100" w:beforeAutospacing="1" w:after="100" w:afterAutospacing="1"/>
        <w:jc w:val="both"/>
        <w:textAlignment w:val="auto"/>
      </w:pPr>
      <w:r w:rsidRPr="00890BD5">
        <w:rPr>
          <w:rFonts w:ascii="Arial" w:hAnsi="Arial" w:cs="Arial"/>
          <w:color w:val="000000" w:themeColor="text1"/>
        </w:rPr>
        <w:t>Indian literature on GD with ID remains limited, highlighting the need for further research and clinical guidance</w:t>
      </w:r>
    </w:p>
    <w:p w:rsidR="00812A0F" w:rsidRPr="007930D0" w:rsidRDefault="007930D0" w:rsidP="00F51CD1">
      <w:pPr>
        <w:pStyle w:val="NormalWeb"/>
        <w:suppressAutoHyphens w:val="0"/>
        <w:autoSpaceDN/>
        <w:spacing w:before="100" w:beforeAutospacing="1" w:after="100" w:afterAutospacing="1" w:line="360" w:lineRule="auto"/>
        <w:ind w:left="720" w:firstLine="0"/>
        <w:jc w:val="both"/>
        <w:textAlignment w:val="auto"/>
        <w:rPr>
          <w:rFonts w:ascii="Arial" w:hAnsi="Arial"/>
          <w:b/>
          <w:color w:val="000000"/>
        </w:rPr>
      </w:pPr>
      <w:r>
        <w:rPr>
          <w:noProof/>
          <w:lang w:val="en-US" w:eastAsia="en-US"/>
        </w:rPr>
        <w:lastRenderedPageBreak/>
        <mc:AlternateContent>
          <mc:Choice Requires="wps">
            <w:drawing>
              <wp:anchor distT="0" distB="0" distL="114300" distR="114300" simplePos="0" relativeHeight="251659264" behindDoc="1" locked="0" layoutInCell="1" allowOverlap="1" wp14:anchorId="5B0D095D" wp14:editId="1E2D2C73">
                <wp:simplePos x="0" y="0"/>
                <wp:positionH relativeFrom="column">
                  <wp:posOffset>1943100</wp:posOffset>
                </wp:positionH>
                <wp:positionV relativeFrom="paragraph">
                  <wp:posOffset>-549910</wp:posOffset>
                </wp:positionV>
                <wp:extent cx="1143000" cy="343082"/>
                <wp:effectExtent l="0" t="0" r="0" b="0"/>
                <wp:wrapNone/>
                <wp:docPr id="5" name="Frame5"/>
                <wp:cNvGraphicFramePr/>
                <a:graphic xmlns:a="http://schemas.openxmlformats.org/drawingml/2006/main">
                  <a:graphicData uri="http://schemas.microsoft.com/office/word/2010/wordprocessingShape">
                    <wps:wsp>
                      <wps:cNvSpPr txBox="1"/>
                      <wps:spPr>
                        <a:xfrm>
                          <a:off x="0" y="0"/>
                          <a:ext cx="1143000" cy="343082"/>
                        </a:xfrm>
                        <a:prstGeom prst="rect">
                          <a:avLst/>
                        </a:prstGeom>
                        <a:ln>
                          <a:noFill/>
                          <a:prstDash/>
                        </a:ln>
                      </wps:spPr>
                      <wps:txbx>
                        <w:txbxContent>
                          <w:p w:rsidR="00812A0F" w:rsidRDefault="00812A0F" w:rsidP="00812A0F">
                            <w:pPr>
                              <w:pStyle w:val="Standard"/>
                              <w:jc w:val="right"/>
                            </w:pPr>
                            <w:r>
                              <w:t>Text</w:t>
                            </w:r>
                          </w:p>
                        </w:txbxContent>
                      </wps:txbx>
                      <wps:bodyPr vert="horz" lIns="100766" tIns="55046" rIns="100766" bIns="55046" compatLnSpc="0">
                        <a:noAutofit/>
                      </wps:bodyPr>
                    </wps:wsp>
                  </a:graphicData>
                </a:graphic>
              </wp:anchor>
            </w:drawing>
          </mc:Choice>
          <mc:Fallback>
            <w:pict>
              <v:shape w14:anchorId="5B0D095D" id="Frame5" o:spid="_x0000_s1027" type="#_x0000_t202" style="position:absolute;left:0;text-align:left;margin-left:153pt;margin-top:-43.3pt;width:90pt;height:27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" filled="f" stroked="f">
                <v:textbox inset="2.79906mm,1.52906mm,2.79906mm,1.52906mm">
                  <w:txbxContent>
                    <w:p w:rsidR="00812A0F" w:rsidRDefault="00812A0F" w:rsidP="00812A0F">
                      <w:pPr>
                        <w:pStyle w:val="Standard"/>
                        <w:jc w:val="right"/>
                      </w:pPr>
                      <w:r>
                        <w:t>Text</w:t>
                      </w:r>
                    </w:p>
                  </w:txbxContent>
                </v:textbox>
              </v:shape>
            </w:pict>
          </mc:Fallback>
        </mc:AlternateContent>
      </w:r>
      <w:r w:rsidR="001A07CD" w:rsidRPr="007930D0">
        <w:rPr>
          <w:rFonts w:ascii="Arial" w:hAnsi="Arial"/>
          <w:b/>
          <w:color w:val="000000"/>
        </w:rPr>
        <w:t>Introduction:</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 xml:space="preserve">Gender identity development is a complex process shaped by biological, psychological, and sociocultural factors. Gender identity refers to an individual’s internal sense of being male, female, or another gender, while sex assigned at birth is based on anatomical characteristics observed at birth. Gender expression represents the outward manifestation of gender through behavior, appearance, and social roles and may or may not align with assigned sex </w:t>
      </w:r>
      <w:r w:rsidRPr="007930D0">
        <w:rPr>
          <w:rStyle w:val="Strong"/>
          <w:rFonts w:ascii="Arial" w:hAnsi="Arial" w:cs="Arial"/>
          <w:b w:val="0"/>
          <w:color w:val="000000" w:themeColor="text1"/>
          <w:vertAlign w:val="superscript"/>
        </w:rPr>
        <w:t>1-3</w:t>
      </w:r>
      <w:r w:rsidRPr="007930D0">
        <w:rPr>
          <w:rStyle w:val="Strong"/>
          <w:rFonts w:ascii="Arial" w:hAnsi="Arial" w:cs="Arial"/>
          <w:b w:val="0"/>
          <w:color w:val="000000" w:themeColor="text1"/>
        </w:rPr>
        <w:t>.</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 xml:space="preserve">Gender dysphoria (GD), as defined in the DSM-5-TR, involves persistent incongruence between experienced gender and assigned sex, lasting at least six months and associated with clinically significant distress or functional impairment </w:t>
      </w:r>
      <w:r w:rsidRPr="007930D0">
        <w:rPr>
          <w:rStyle w:val="Strong"/>
          <w:rFonts w:ascii="Arial" w:hAnsi="Arial" w:cs="Arial"/>
          <w:b w:val="0"/>
          <w:color w:val="000000" w:themeColor="text1"/>
          <w:vertAlign w:val="superscript"/>
        </w:rPr>
        <w:t>4</w:t>
      </w:r>
      <w:r w:rsidRPr="007930D0">
        <w:rPr>
          <w:rStyle w:val="Strong"/>
          <w:rFonts w:ascii="Arial" w:hAnsi="Arial" w:cs="Arial"/>
          <w:b w:val="0"/>
          <w:color w:val="000000" w:themeColor="text1"/>
        </w:rPr>
        <w:t xml:space="preserve">. Importantly, GD refers to distress arising from incongruence rather than gender diversity itself and is distinct from gender nonconformity </w:t>
      </w:r>
      <w:r w:rsidRPr="007930D0">
        <w:rPr>
          <w:rStyle w:val="Strong"/>
          <w:rFonts w:ascii="Arial" w:hAnsi="Arial" w:cs="Arial"/>
          <w:b w:val="0"/>
          <w:color w:val="000000" w:themeColor="text1"/>
          <w:vertAlign w:val="superscript"/>
        </w:rPr>
        <w:t>4,5</w:t>
      </w:r>
      <w:r w:rsidRPr="007930D0">
        <w:rPr>
          <w:rStyle w:val="Strong"/>
          <w:rFonts w:ascii="Arial" w:hAnsi="Arial" w:cs="Arial"/>
          <w:b w:val="0"/>
          <w:color w:val="000000" w:themeColor="text1"/>
        </w:rPr>
        <w:t>.</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 xml:space="preserve">Intellectual disability (ID), as defined in ICD-11, is characterized by significant limitations in intellectual functioning and adaptive behavior originating during the developmental period </w:t>
      </w:r>
      <w:r w:rsidRPr="007930D0">
        <w:rPr>
          <w:rStyle w:val="Strong"/>
          <w:rFonts w:ascii="Arial" w:hAnsi="Arial" w:cs="Arial"/>
          <w:b w:val="0"/>
          <w:color w:val="000000" w:themeColor="text1"/>
          <w:vertAlign w:val="superscript"/>
        </w:rPr>
        <w:t>6</w:t>
      </w:r>
      <w:r w:rsidRPr="007930D0">
        <w:rPr>
          <w:rStyle w:val="Strong"/>
          <w:rFonts w:ascii="Arial" w:hAnsi="Arial" w:cs="Arial"/>
          <w:b w:val="0"/>
          <w:color w:val="000000" w:themeColor="text1"/>
        </w:rPr>
        <w:t xml:space="preserve">. Individuals with ID experience the full spectrum of gender identities; however, their gender-related experiences are often overlooked or misattributed to cognitive impairment </w:t>
      </w:r>
      <w:r w:rsidRPr="007930D0">
        <w:rPr>
          <w:rStyle w:val="Strong"/>
          <w:rFonts w:ascii="Arial" w:hAnsi="Arial" w:cs="Arial"/>
          <w:b w:val="0"/>
          <w:color w:val="000000" w:themeColor="text1"/>
          <w:vertAlign w:val="superscript"/>
        </w:rPr>
        <w:t>7,8</w:t>
      </w:r>
      <w:r w:rsidRPr="007930D0">
        <w:rPr>
          <w:rStyle w:val="Strong"/>
          <w:rFonts w:ascii="Arial" w:hAnsi="Arial" w:cs="Arial"/>
          <w:b w:val="0"/>
          <w:color w:val="000000" w:themeColor="text1"/>
        </w:rPr>
        <w:t xml:space="preserve">. This phenomenon, known as diagnostic overshadowing, may result in under recognition of GD </w:t>
      </w:r>
      <w:r w:rsidRPr="007930D0">
        <w:rPr>
          <w:rStyle w:val="Strong"/>
          <w:rFonts w:ascii="Arial" w:hAnsi="Arial" w:cs="Arial"/>
          <w:b w:val="0"/>
          <w:color w:val="000000" w:themeColor="text1"/>
          <w:vertAlign w:val="superscript"/>
        </w:rPr>
        <w:t>9</w:t>
      </w:r>
      <w:r w:rsidRPr="007930D0">
        <w:rPr>
          <w:rStyle w:val="Strong"/>
          <w:rFonts w:ascii="Arial" w:hAnsi="Arial" w:cs="Arial"/>
          <w:b w:val="0"/>
          <w:color w:val="000000" w:themeColor="text1"/>
        </w:rPr>
        <w:t>.</w:t>
      </w:r>
    </w:p>
    <w:p w:rsidR="001A07CD" w:rsidRPr="007930D0" w:rsidRDefault="001A07CD" w:rsidP="007930D0">
      <w:pPr>
        <w:pStyle w:val="ds-markdown-paragraph"/>
        <w:shd w:val="clear" w:color="auto" w:fill="FFFFFF"/>
        <w:spacing w:before="240" w:after="240" w:line="480" w:lineRule="auto"/>
        <w:jc w:val="both"/>
        <w:rPr>
          <w:rFonts w:ascii="Arial" w:hAnsi="Arial" w:cs="Arial"/>
        </w:rPr>
      </w:pPr>
      <w:r w:rsidRPr="007930D0">
        <w:rPr>
          <w:rStyle w:val="Strong"/>
          <w:rFonts w:ascii="Arial" w:hAnsi="Arial" w:cs="Arial"/>
          <w:b w:val="0"/>
          <w:color w:val="000000" w:themeColor="text1"/>
        </w:rPr>
        <w:t xml:space="preserve">Assessment of GD in individuals with ID requires careful evaluation of persistence, consistency, and associated distress, along with structured psychometric assessment and collateral information </w:t>
      </w:r>
      <w:r w:rsidRPr="007930D0">
        <w:rPr>
          <w:rStyle w:val="Strong"/>
          <w:rFonts w:ascii="Arial" w:hAnsi="Arial" w:cs="Arial"/>
          <w:b w:val="0"/>
          <w:color w:val="000000" w:themeColor="text1"/>
          <w:vertAlign w:val="superscript"/>
        </w:rPr>
        <w:t>10</w:t>
      </w:r>
      <w:r w:rsidRPr="007930D0">
        <w:rPr>
          <w:rStyle w:val="Strong"/>
          <w:rFonts w:ascii="Arial" w:hAnsi="Arial" w:cs="Arial"/>
          <w:b w:val="0"/>
          <w:color w:val="000000" w:themeColor="text1"/>
        </w:rPr>
        <w:t xml:space="preserve">. Ethical management requires balancing autonomy with protection from harm, using a gender-affirmative and capacity-sensitive approach tailored to cognitive abilities </w:t>
      </w:r>
      <w:r w:rsidRPr="007930D0">
        <w:rPr>
          <w:rStyle w:val="Strong"/>
          <w:rFonts w:ascii="Arial" w:hAnsi="Arial" w:cs="Arial"/>
          <w:b w:val="0"/>
          <w:color w:val="000000" w:themeColor="text1"/>
          <w:vertAlign w:val="superscript"/>
        </w:rPr>
        <w:t>11,12</w:t>
      </w:r>
      <w:r w:rsidRPr="007930D0">
        <w:rPr>
          <w:rStyle w:val="Strong"/>
          <w:rFonts w:ascii="Arial" w:hAnsi="Arial" w:cs="Arial"/>
          <w:b w:val="0"/>
          <w:color w:val="000000" w:themeColor="text1"/>
        </w:rPr>
        <w:t xml:space="preserve">. </w:t>
      </w:r>
      <w:r w:rsidRPr="007930D0">
        <w:rPr>
          <w:rFonts w:ascii="Arial" w:hAnsi="Arial" w:cs="Arial"/>
        </w:rPr>
        <w:t xml:space="preserve">This case is unique due to the comprehensive use of standardized intellectual, adaptive functioning, gender dysphoria, and formal </w:t>
      </w:r>
      <w:r w:rsidRPr="007930D0">
        <w:rPr>
          <w:rFonts w:ascii="Arial" w:hAnsi="Arial" w:cs="Arial"/>
        </w:rPr>
        <w:lastRenderedPageBreak/>
        <w:t>decisional capacity assessments, which are rarely reported together in existing literature</w:t>
      </w:r>
      <w:r w:rsidRPr="007930D0">
        <w:rPr>
          <w:rFonts w:ascii="Arial" w:hAnsi="Arial" w:cs="Arial"/>
          <w:vertAlign w:val="superscript"/>
        </w:rPr>
        <w:t>13</w:t>
      </w:r>
      <w:r w:rsidRPr="007930D0">
        <w:rPr>
          <w:rFonts w:ascii="Arial" w:hAnsi="Arial" w:cs="Arial"/>
        </w:rPr>
        <w:t xml:space="preserve">. Additionally, the demonstration of preserved decision-making capacity for psychosocial interventions despite intellectual disability provides important clinical and ethical insights. </w:t>
      </w:r>
    </w:p>
    <w:p w:rsidR="001A07CD" w:rsidRPr="007930D0" w:rsidRDefault="00812A0F" w:rsidP="007930D0">
      <w:pPr>
        <w:pStyle w:val="ds-markdown-paragraph"/>
        <w:shd w:val="clear" w:color="auto" w:fill="FFFFFF"/>
        <w:spacing w:before="240" w:after="240" w:line="480" w:lineRule="auto"/>
        <w:jc w:val="both"/>
        <w:rPr>
          <w:rStyle w:val="Standard"/>
          <w:rFonts w:ascii="Arial" w:hAnsi="Arial" w:cs="Arial"/>
          <w:b/>
          <w:color w:val="000000" w:themeColor="text1"/>
        </w:rPr>
      </w:pPr>
      <w:r w:rsidRPr="007930D0">
        <w:rPr>
          <w:rFonts w:ascii="Arial" w:hAnsi="Arial" w:cs="Arial"/>
          <w:b/>
          <w:color w:val="000000"/>
        </w:rPr>
        <w:t>Case Histor</w:t>
      </w:r>
      <w:r w:rsidR="001A07CD" w:rsidRPr="007930D0">
        <w:rPr>
          <w:rFonts w:ascii="Arial" w:hAnsi="Arial" w:cs="Arial"/>
          <w:b/>
          <w:color w:val="000000"/>
        </w:rPr>
        <w:t>y:</w:t>
      </w:r>
      <w:r w:rsidR="001A07CD" w:rsidRPr="007930D0">
        <w:rPr>
          <w:rStyle w:val="Standard"/>
          <w:rFonts w:ascii="Arial" w:hAnsi="Arial" w:cs="Arial"/>
          <w:b/>
          <w:color w:val="000000" w:themeColor="text1"/>
        </w:rPr>
        <w:t xml:space="preserve"> </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A 21-year-old individual assigned female at birth was brought by the father with concerns regarding persistent adoption of a male gender role. The patient consistently identified as male, preferred he/him pronouns, wore masculine clothing, cut his hair short, and requested a male name. These changes were associated with withdrawal from previously accepted feminine roles and caused family distress.</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Developmental history revealed delayed milestones, with walking at 24 months and first words at 3 years. Academic performance was poor, and education was limited to primary school. The patient had lifelong difficulties in adaptive functioning, social interaction, and independent daily activities. There was no history of seizures, head injury, substance use, or family psychiatric illness.</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Mental status examination revealed a cooperative individual with intermittent eye contact. Speech was coherent but concrete. Mood was euthymic with constricted affect. Thought processes were logical, and no psychotic symptoms or suicidal ideation were present. Abstract thinking, judgment, and insight were limited, consistent with intellectual disability.</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Psychometric assessment using the Binet-Kamat Test</w:t>
      </w:r>
      <w:r w:rsidRPr="007930D0">
        <w:rPr>
          <w:rStyle w:val="Strong"/>
          <w:rFonts w:ascii="Arial" w:hAnsi="Arial" w:cs="Arial"/>
          <w:b w:val="0"/>
          <w:color w:val="000000" w:themeColor="text1"/>
          <w:vertAlign w:val="superscript"/>
        </w:rPr>
        <w:t>14</w:t>
      </w:r>
      <w:r w:rsidRPr="007930D0">
        <w:rPr>
          <w:rStyle w:val="Strong"/>
          <w:rFonts w:ascii="Arial" w:hAnsi="Arial" w:cs="Arial"/>
          <w:b w:val="0"/>
          <w:color w:val="000000" w:themeColor="text1"/>
        </w:rPr>
        <w:t xml:space="preserve"> demonstrated a mental age of 12 years, consistent with mild to moderate intellectual disability. The Indian Disability Evaluation and Assessment Scale</w:t>
      </w:r>
      <w:r w:rsidRPr="007930D0">
        <w:rPr>
          <w:rStyle w:val="Strong"/>
          <w:rFonts w:ascii="Arial" w:hAnsi="Arial" w:cs="Arial"/>
          <w:b w:val="0"/>
          <w:color w:val="000000" w:themeColor="text1"/>
          <w:vertAlign w:val="superscript"/>
        </w:rPr>
        <w:t>15</w:t>
      </w:r>
      <w:r w:rsidRPr="007930D0">
        <w:rPr>
          <w:rStyle w:val="Strong"/>
          <w:rFonts w:ascii="Arial" w:hAnsi="Arial" w:cs="Arial"/>
          <w:b w:val="0"/>
          <w:color w:val="000000" w:themeColor="text1"/>
        </w:rPr>
        <w:t xml:space="preserve"> showed 50% disability. WHODAS 2.0</w:t>
      </w:r>
      <w:r w:rsidRPr="007930D0">
        <w:rPr>
          <w:rStyle w:val="Strong"/>
          <w:rFonts w:ascii="Arial" w:hAnsi="Arial" w:cs="Arial"/>
          <w:b w:val="0"/>
          <w:color w:val="000000" w:themeColor="text1"/>
          <w:vertAlign w:val="superscript"/>
        </w:rPr>
        <w:t>16</w:t>
      </w:r>
      <w:r w:rsidRPr="007930D0">
        <w:rPr>
          <w:rStyle w:val="Strong"/>
          <w:rFonts w:ascii="Arial" w:hAnsi="Arial" w:cs="Arial"/>
          <w:b w:val="0"/>
          <w:color w:val="000000" w:themeColor="text1"/>
        </w:rPr>
        <w:t xml:space="preserve"> </w:t>
      </w:r>
      <w:r w:rsidRPr="007930D0">
        <w:rPr>
          <w:rStyle w:val="Strong"/>
          <w:rFonts w:ascii="Arial" w:hAnsi="Arial" w:cs="Arial"/>
          <w:b w:val="0"/>
          <w:color w:val="000000" w:themeColor="text1"/>
        </w:rPr>
        <w:lastRenderedPageBreak/>
        <w:t>revealed severe functional impairment (52.19%), particularly in communication and social participation. Vineland Social Maturity Scale</w:t>
      </w:r>
      <w:r w:rsidRPr="007930D0">
        <w:rPr>
          <w:rStyle w:val="Strong"/>
          <w:rFonts w:ascii="Arial" w:hAnsi="Arial" w:cs="Arial"/>
          <w:b w:val="0"/>
          <w:color w:val="000000" w:themeColor="text1"/>
          <w:vertAlign w:val="superscript"/>
        </w:rPr>
        <w:t>17</w:t>
      </w:r>
      <w:r w:rsidRPr="007930D0">
        <w:rPr>
          <w:rStyle w:val="Strong"/>
          <w:rFonts w:ascii="Arial" w:hAnsi="Arial" w:cs="Arial"/>
          <w:b w:val="0"/>
          <w:color w:val="000000" w:themeColor="text1"/>
        </w:rPr>
        <w:t xml:space="preserve"> indicated deficits in communication and socialization.</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Capacity assessment using the NIMHANS Capacity Assessment Tool</w:t>
      </w:r>
      <w:r w:rsidRPr="007930D0">
        <w:rPr>
          <w:rStyle w:val="Strong"/>
          <w:rFonts w:ascii="Arial" w:hAnsi="Arial" w:cs="Arial"/>
          <w:b w:val="0"/>
          <w:color w:val="000000" w:themeColor="text1"/>
          <w:vertAlign w:val="superscript"/>
        </w:rPr>
        <w:t>18</w:t>
      </w:r>
      <w:r w:rsidRPr="007930D0">
        <w:rPr>
          <w:rStyle w:val="Strong"/>
          <w:rFonts w:ascii="Arial" w:hAnsi="Arial" w:cs="Arial"/>
          <w:b w:val="0"/>
          <w:color w:val="000000" w:themeColor="text1"/>
        </w:rPr>
        <w:t xml:space="preserve"> showed adequate understanding, appreciation, reasoning, and ability to express consistent gender identity, indicating capacity for participation in psychosocial interventions.</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Psychiatric screening revealed mild anxiety (GAD-7 score: 7)</w:t>
      </w:r>
      <w:r w:rsidRPr="007930D0">
        <w:rPr>
          <w:rStyle w:val="Strong"/>
          <w:rFonts w:ascii="Arial" w:hAnsi="Arial" w:cs="Arial"/>
          <w:b w:val="0"/>
          <w:color w:val="000000" w:themeColor="text1"/>
          <w:vertAlign w:val="superscript"/>
        </w:rPr>
        <w:t>19</w:t>
      </w:r>
      <w:r w:rsidRPr="007930D0">
        <w:rPr>
          <w:rStyle w:val="Strong"/>
          <w:rFonts w:ascii="Arial" w:hAnsi="Arial" w:cs="Arial"/>
          <w:b w:val="0"/>
          <w:color w:val="000000" w:themeColor="text1"/>
        </w:rPr>
        <w:t xml:space="preserve"> and mild depressive symptoms (PHQ-9 score: 8)</w:t>
      </w:r>
      <w:r w:rsidRPr="007930D0">
        <w:rPr>
          <w:rStyle w:val="Strong"/>
          <w:rFonts w:ascii="Arial" w:hAnsi="Arial" w:cs="Arial"/>
          <w:b w:val="0"/>
          <w:color w:val="000000" w:themeColor="text1"/>
          <w:vertAlign w:val="superscript"/>
        </w:rPr>
        <w:t>20</w:t>
      </w:r>
      <w:r w:rsidRPr="007930D0">
        <w:rPr>
          <w:rStyle w:val="Strong"/>
          <w:rFonts w:ascii="Arial" w:hAnsi="Arial" w:cs="Arial"/>
          <w:b w:val="0"/>
          <w:color w:val="000000" w:themeColor="text1"/>
        </w:rPr>
        <w:t>. Gender dysphoria assessment using the Utrecht Gender Dysphoria Scale</w:t>
      </w:r>
      <w:r w:rsidRPr="007930D0">
        <w:rPr>
          <w:rStyle w:val="Strong"/>
          <w:rFonts w:ascii="Arial" w:hAnsi="Arial" w:cs="Arial"/>
          <w:b w:val="0"/>
          <w:color w:val="000000" w:themeColor="text1"/>
          <w:vertAlign w:val="superscript"/>
        </w:rPr>
        <w:t>21</w:t>
      </w:r>
      <w:r w:rsidRPr="007930D0">
        <w:rPr>
          <w:rStyle w:val="Strong"/>
          <w:rFonts w:ascii="Arial" w:hAnsi="Arial" w:cs="Arial"/>
          <w:b w:val="0"/>
          <w:color w:val="000000" w:themeColor="text1"/>
        </w:rPr>
        <w:t xml:space="preserve"> showed moderate dysphoria (mean score: 3.611).</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A gender-affirmative, capacity-sensitive management approach was initiated. Supportive psychotherapy focused on emotional expression, identity validation, and coping with family stress. Family psychoeducation addressed misconceptions and emphasized supportive care. Pharmacotherapy was not initiated due to mild symptom severity.</w:t>
      </w:r>
    </w:p>
    <w:p w:rsidR="00812A0F" w:rsidRPr="007930D0" w:rsidRDefault="001A07CD" w:rsidP="007930D0">
      <w:pPr>
        <w:pStyle w:val="ds-markdown-paragraph"/>
        <w:shd w:val="clear" w:color="auto" w:fill="FFFFFF"/>
        <w:spacing w:before="240" w:after="240" w:line="480" w:lineRule="auto"/>
        <w:jc w:val="both"/>
        <w:rPr>
          <w:rFonts w:ascii="Arial" w:hAnsi="Arial" w:cs="Arial"/>
          <w:color w:val="000000"/>
        </w:rPr>
      </w:pPr>
      <w:r w:rsidRPr="007930D0">
        <w:rPr>
          <w:rStyle w:val="Strong"/>
          <w:rFonts w:ascii="Arial" w:hAnsi="Arial" w:cs="Arial"/>
          <w:b w:val="0"/>
          <w:color w:val="000000" w:themeColor="text1"/>
        </w:rPr>
        <w:t>At 8-week follow-up, the patient showed reduced anxiety and improved communication regarding gender identity. Family conflict decreased, and gender identity remained consistent. Ongoing follow-up was planned for longitudinal capacity assessment and psychological support.</w:t>
      </w:r>
      <w:r w:rsidRPr="007930D0">
        <w:rPr>
          <w:rFonts w:ascii="Arial" w:hAnsi="Arial" w:cs="Arial"/>
          <w:color w:val="000000"/>
        </w:rPr>
        <w:t xml:space="preserve"> </w:t>
      </w:r>
    </w:p>
    <w:p w:rsidR="001A07CD" w:rsidRPr="007930D0" w:rsidRDefault="00812A0F" w:rsidP="007930D0">
      <w:pPr>
        <w:pStyle w:val="ds-markdown-paragraph"/>
        <w:shd w:val="clear" w:color="auto" w:fill="FFFFFF"/>
        <w:spacing w:before="240" w:after="240" w:line="480" w:lineRule="auto"/>
        <w:jc w:val="both"/>
        <w:rPr>
          <w:rFonts w:ascii="Arial" w:hAnsi="Arial" w:cs="Arial"/>
          <w:b/>
          <w:color w:val="000000"/>
        </w:rPr>
      </w:pPr>
      <w:r w:rsidRPr="007930D0">
        <w:rPr>
          <w:rFonts w:ascii="Arial" w:hAnsi="Arial" w:cs="Arial"/>
          <w:b/>
          <w:color w:val="000000"/>
        </w:rPr>
        <w:t>Discussion:</w:t>
      </w:r>
      <w:r w:rsidR="001A07CD" w:rsidRPr="007930D0">
        <w:rPr>
          <w:rFonts w:ascii="Arial" w:hAnsi="Arial" w:cs="Arial"/>
          <w:b/>
          <w:color w:val="000000"/>
        </w:rPr>
        <w:t xml:space="preserve"> </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 xml:space="preserve">This case highlights the complex intersection between gender dysphoria and intellectual disability. Individuals with ID may experience gender incongruence comparable to the general population, yet their experiences are frequently overlooked </w:t>
      </w:r>
      <w:r w:rsidRPr="007930D0">
        <w:rPr>
          <w:rStyle w:val="Strong"/>
          <w:rFonts w:ascii="Arial" w:hAnsi="Arial" w:cs="Arial"/>
          <w:b w:val="0"/>
          <w:color w:val="000000" w:themeColor="text1"/>
        </w:rPr>
        <w:lastRenderedPageBreak/>
        <w:t xml:space="preserve">due to assumptions about impaired understanding </w:t>
      </w:r>
      <w:r w:rsidRPr="007930D0">
        <w:rPr>
          <w:rStyle w:val="Strong"/>
          <w:rFonts w:ascii="Arial" w:hAnsi="Arial" w:cs="Arial"/>
          <w:b w:val="0"/>
          <w:color w:val="000000" w:themeColor="text1"/>
          <w:vertAlign w:val="superscript"/>
        </w:rPr>
        <w:t>22,23</w:t>
      </w:r>
      <w:r w:rsidRPr="007930D0">
        <w:rPr>
          <w:rStyle w:val="Strong"/>
          <w:rFonts w:ascii="Arial" w:hAnsi="Arial" w:cs="Arial"/>
          <w:b w:val="0"/>
          <w:color w:val="000000" w:themeColor="text1"/>
        </w:rPr>
        <w:t>. This case demonstrates that intellectual disability does not preclude stable gender identity.</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A key strength of this case was the use of structured psychometric and functional assessments, including intellectual, adaptive, disability, and gender-specific tools. These assessments confirmed intellectual disability while independently demonstrating persistent gender dysphoria. Structured gender-specific assessment improves diagnostic clarity and reduces risk of diagnostic overshadowing</w:t>
      </w:r>
      <w:r w:rsidRPr="007930D0">
        <w:rPr>
          <w:rStyle w:val="Strong"/>
          <w:rFonts w:ascii="Arial" w:hAnsi="Arial" w:cs="Arial"/>
          <w:b w:val="0"/>
          <w:color w:val="000000" w:themeColor="text1"/>
          <w:vertAlign w:val="superscript"/>
        </w:rPr>
        <w:t>24</w:t>
      </w:r>
      <w:r w:rsidRPr="007930D0">
        <w:rPr>
          <w:rStyle w:val="Strong"/>
          <w:rFonts w:ascii="Arial" w:hAnsi="Arial" w:cs="Arial"/>
          <w:b w:val="0"/>
          <w:color w:val="000000" w:themeColor="text1"/>
        </w:rPr>
        <w:t>.</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Capacity assessment revealed adequate decision-making ability for psychosocial interventions, supporting the principle that capacity is task-specific and should not be determined solely by IQ</w:t>
      </w:r>
      <w:r w:rsidRPr="007930D0">
        <w:rPr>
          <w:rStyle w:val="Strong"/>
          <w:rFonts w:ascii="Arial" w:hAnsi="Arial" w:cs="Arial"/>
          <w:b w:val="0"/>
          <w:color w:val="000000" w:themeColor="text1"/>
          <w:vertAlign w:val="superscript"/>
        </w:rPr>
        <w:t>25</w:t>
      </w:r>
      <w:r w:rsidRPr="007930D0">
        <w:rPr>
          <w:rStyle w:val="Strong"/>
          <w:rFonts w:ascii="Arial" w:hAnsi="Arial" w:cs="Arial"/>
          <w:b w:val="0"/>
          <w:color w:val="000000" w:themeColor="text1"/>
        </w:rPr>
        <w:t>. This aligns with supported decision-making models emphasizing autonomy and individualized assessment.</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 xml:space="preserve">The presence of mild anxiety and depressive symptoms is consistent with the minority stress model, which attributes distress to stigma and family conflict rather than intrinsic psychopathology </w:t>
      </w:r>
      <w:r w:rsidRPr="007930D0">
        <w:rPr>
          <w:rStyle w:val="Strong"/>
          <w:rFonts w:ascii="Arial" w:hAnsi="Arial" w:cs="Arial"/>
          <w:b w:val="0"/>
          <w:color w:val="000000" w:themeColor="text1"/>
          <w:vertAlign w:val="superscript"/>
        </w:rPr>
        <w:t>26</w:t>
      </w:r>
      <w:r w:rsidRPr="007930D0">
        <w:rPr>
          <w:rStyle w:val="Strong"/>
          <w:rFonts w:ascii="Arial" w:hAnsi="Arial" w:cs="Arial"/>
          <w:b w:val="0"/>
          <w:color w:val="000000" w:themeColor="text1"/>
        </w:rPr>
        <w:t>. Improvement following supportive psychotherapy and family psychoeducation highlights the importance of affirming environments.</w:t>
      </w:r>
    </w:p>
    <w:p w:rsidR="001A07CD" w:rsidRPr="007930D0" w:rsidRDefault="001A07CD" w:rsidP="007930D0">
      <w:pPr>
        <w:pStyle w:val="ds-markdown-paragraph"/>
        <w:shd w:val="clear" w:color="auto" w:fill="FFFFFF"/>
        <w:spacing w:before="240" w:after="240" w:line="480" w:lineRule="auto"/>
        <w:jc w:val="both"/>
        <w:rPr>
          <w:rStyle w:val="Strong"/>
          <w:rFonts w:ascii="Arial" w:hAnsi="Arial" w:cs="Arial"/>
          <w:b w:val="0"/>
          <w:color w:val="000000" w:themeColor="text1"/>
        </w:rPr>
      </w:pPr>
      <w:r w:rsidRPr="007930D0">
        <w:rPr>
          <w:rStyle w:val="Strong"/>
          <w:rFonts w:ascii="Arial" w:hAnsi="Arial" w:cs="Arial"/>
          <w:b w:val="0"/>
          <w:color w:val="000000" w:themeColor="text1"/>
        </w:rPr>
        <w:t>Ethical considerations are particularly important in individuals with intellectual disability. While irreversible medical interventions require careful longitudinal assessment, exclusion from gender-affirming care based solely on intellectual disability is inappropriate</w:t>
      </w:r>
      <w:r w:rsidRPr="007930D0">
        <w:rPr>
          <w:rStyle w:val="Strong"/>
          <w:rFonts w:ascii="Arial" w:hAnsi="Arial" w:cs="Arial"/>
          <w:b w:val="0"/>
          <w:color w:val="000000" w:themeColor="text1"/>
          <w:vertAlign w:val="superscript"/>
        </w:rPr>
        <w:t xml:space="preserve"> 27</w:t>
      </w:r>
      <w:r w:rsidRPr="007930D0">
        <w:rPr>
          <w:rStyle w:val="Strong"/>
          <w:rFonts w:ascii="Arial" w:hAnsi="Arial" w:cs="Arial"/>
          <w:b w:val="0"/>
          <w:color w:val="000000" w:themeColor="text1"/>
        </w:rPr>
        <w:t>. A multidisciplinary, capacity-sensitive approach allows ethical and individualized care.</w:t>
      </w:r>
    </w:p>
    <w:p w:rsidR="007930D0" w:rsidRDefault="001A07CD" w:rsidP="007930D0">
      <w:pPr>
        <w:pStyle w:val="ds-markdown-paragraph"/>
        <w:shd w:val="clear" w:color="auto" w:fill="FFFFFF"/>
        <w:spacing w:before="240" w:after="240" w:line="480" w:lineRule="auto"/>
        <w:jc w:val="both"/>
        <w:rPr>
          <w:rFonts w:ascii="Arial" w:hAnsi="Arial"/>
          <w:color w:val="000000"/>
        </w:rPr>
      </w:pPr>
      <w:r w:rsidRPr="007930D0">
        <w:rPr>
          <w:rStyle w:val="Strong"/>
          <w:rFonts w:ascii="Arial" w:hAnsi="Arial" w:cs="Arial"/>
          <w:b w:val="0"/>
          <w:color w:val="000000" w:themeColor="text1"/>
        </w:rPr>
        <w:t>In the Indian context, stigma, limited clinician training, and lack of disability-inclusive gender services complicate management</w:t>
      </w:r>
      <w:r w:rsidRPr="007930D0">
        <w:rPr>
          <w:rStyle w:val="Strong"/>
          <w:rFonts w:ascii="Arial" w:hAnsi="Arial" w:cs="Arial"/>
          <w:b w:val="0"/>
          <w:color w:val="000000" w:themeColor="text1"/>
          <w:vertAlign w:val="superscript"/>
        </w:rPr>
        <w:t>28</w:t>
      </w:r>
      <w:r w:rsidRPr="007930D0">
        <w:rPr>
          <w:rStyle w:val="Strong"/>
          <w:rFonts w:ascii="Arial" w:hAnsi="Arial" w:cs="Arial"/>
          <w:b w:val="0"/>
          <w:color w:val="000000" w:themeColor="text1"/>
        </w:rPr>
        <w:t xml:space="preserve">. This case demonstrates that structured </w:t>
      </w:r>
      <w:r w:rsidRPr="007930D0">
        <w:rPr>
          <w:rStyle w:val="Strong"/>
          <w:rFonts w:ascii="Arial" w:hAnsi="Arial" w:cs="Arial"/>
          <w:b w:val="0"/>
          <w:color w:val="000000" w:themeColor="text1"/>
        </w:rPr>
        <w:lastRenderedPageBreak/>
        <w:t>assessment, capacity evaluation, and family-inclusive interventions can facilitate appropriate and ethical care.</w:t>
      </w:r>
      <w:r w:rsidR="007930D0">
        <w:rPr>
          <w:rFonts w:ascii="Arial" w:hAnsi="Arial"/>
          <w:color w:val="000000"/>
        </w:rPr>
        <w:t xml:space="preserve"> </w:t>
      </w:r>
    </w:p>
    <w:p w:rsidR="00812A0F" w:rsidRPr="000D038B" w:rsidRDefault="00812A0F" w:rsidP="007930D0">
      <w:pPr>
        <w:pStyle w:val="ds-markdown-paragraph"/>
        <w:shd w:val="clear" w:color="auto" w:fill="FFFFFF"/>
        <w:spacing w:before="240" w:after="240" w:line="480" w:lineRule="auto"/>
        <w:jc w:val="both"/>
        <w:rPr>
          <w:rFonts w:ascii="Arial" w:hAnsi="Arial"/>
          <w:b/>
          <w:color w:val="000000"/>
        </w:rPr>
      </w:pPr>
      <w:r w:rsidRPr="000D038B">
        <w:rPr>
          <w:rFonts w:ascii="Arial" w:hAnsi="Arial"/>
          <w:b/>
          <w:color w:val="000000"/>
        </w:rPr>
        <w:t>Reference</w:t>
      </w:r>
      <w:r w:rsidR="001A07CD" w:rsidRPr="000D038B">
        <w:rPr>
          <w:rFonts w:ascii="Arial" w:hAnsi="Arial"/>
          <w:b/>
          <w:color w:val="000000"/>
        </w:rPr>
        <w:t xml:space="preserve">s: </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Lavorato E, Rampino A, Giorgelli V. Gender dysphoria: overview and psychological interventions. Practical clinical andrology. 2022 Oct 15:263-72</w:t>
      </w:r>
      <w:r w:rsidRPr="00CD41B4">
        <w:rPr>
          <w:rFonts w:ascii="Arial" w:hAnsi="Arial" w:cs="Arial"/>
          <w:color w:val="000000" w:themeColor="text1"/>
        </w:rPr>
        <w:t>.</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Style w:val="Strong"/>
          <w:rFonts w:ascii="Arial" w:hAnsi="Arial" w:cs="Arial"/>
          <w:color w:val="000000" w:themeColor="text1"/>
        </w:rPr>
        <w:t>Brown GR</w:t>
      </w:r>
      <w:r w:rsidRPr="00CD41B4">
        <w:rPr>
          <w:rFonts w:ascii="Arial" w:hAnsi="Arial" w:cs="Arial"/>
          <w:color w:val="000000" w:themeColor="text1"/>
        </w:rPr>
        <w:t>. Gender incongruence and gender dysphoria [Internet]. In: MSD Manual – Professional Edition. Kenilworth (NJ): Merck &amp; Co., Inc.; 2026 Jan [cited 2024 Oct 23]. Available from: </w:t>
      </w:r>
      <w:hyperlink r:id="rId5" w:tgtFrame="_blank" w:history="1">
        <w:r w:rsidRPr="00CD41B4">
          <w:rPr>
            <w:rFonts w:ascii="Arial" w:hAnsi="Arial" w:cs="Arial"/>
            <w:color w:val="000000" w:themeColor="text1"/>
          </w:rPr>
          <w:t>https://www.msdmanuals.com/en-in/professional/psychiatric-disorders/gender-incongruence-and-gender-dysphoria/gender-incongruence-and-gender-dysphoria</w:t>
        </w:r>
      </w:hyperlink>
      <w:r w:rsidRPr="00CD41B4">
        <w:rPr>
          <w:rFonts w:ascii="Arial" w:hAnsi="Arial" w:cs="Arial"/>
          <w:color w:val="000000" w:themeColor="text1"/>
        </w:rPr>
        <w:t xml:space="preserve">.   </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Claahsen-van der Grinten H, Verhaak C, Steensma T, Middelberg T, Roeffen J, Klink D. Gender incongruence and gender dysphoria in childhood and adolescence—current insights in diagnostics, management, and follow-up. European journal of pediatrics. 2021 May;180(5):1349-57.</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rPr>
        <w:t xml:space="preserve">Garg G, Elshimy G, Marwaha R. Gender Dysphoria. [Updated 2023 Jul 11]. In: StatPearls [Internet]. Treasure Island (FL): StatPearls Publishing; 2025 Jan-. Available from: </w:t>
      </w:r>
      <w:hyperlink r:id="rId6" w:history="1">
        <w:r w:rsidRPr="00CD41B4">
          <w:rPr>
            <w:rStyle w:val="Hyperlink"/>
            <w:rFonts w:ascii="Arial" w:eastAsia="Lucida Sans Unicode" w:hAnsi="Arial" w:cs="Arial"/>
            <w:color w:val="000000" w:themeColor="text1"/>
          </w:rPr>
          <w:t>https://www.ncbi.nlm.nih.gov/books/NBK532313/</w:t>
        </w:r>
      </w:hyperlink>
    </w:p>
    <w:p w:rsidR="001A07CD" w:rsidRPr="00AF37F1"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AF37F1">
        <w:rPr>
          <w:rStyle w:val="Strong"/>
          <w:rFonts w:ascii="Arial" w:hAnsi="Arial" w:cs="Arial"/>
          <w:color w:val="000000" w:themeColor="text1"/>
          <w:shd w:val="clear" w:color="auto" w:fill="FFFFFF"/>
        </w:rPr>
        <w:t>American Psychiatric Association.</w:t>
      </w:r>
      <w:r w:rsidRPr="00AF37F1">
        <w:rPr>
          <w:rFonts w:ascii="Arial" w:hAnsi="Arial" w:cs="Arial"/>
          <w:color w:val="000000" w:themeColor="text1"/>
          <w:shd w:val="clear" w:color="auto" w:fill="FFFFFF"/>
        </w:rPr>
        <w:t> Diagnostic and Statistical Manual of Mental Disorders, Fifth Edition, Text Revision (DSM-5-TR) [Internet]. Washington, DC: American Psychiatric Association Publishing; 2022 Mar 18 [cited </w:t>
      </w:r>
      <w:r w:rsidRPr="00AF37F1">
        <w:rPr>
          <w:rStyle w:val="Strong"/>
          <w:rFonts w:ascii="Arial" w:hAnsi="Arial" w:cs="Arial"/>
          <w:color w:val="000000" w:themeColor="text1"/>
          <w:shd w:val="clear" w:color="auto" w:fill="FFFFFF"/>
        </w:rPr>
        <w:t>2024 Oct 23</w:t>
      </w:r>
      <w:r w:rsidRPr="00AF37F1">
        <w:rPr>
          <w:rFonts w:ascii="Arial" w:hAnsi="Arial" w:cs="Arial"/>
          <w:color w:val="000000" w:themeColor="text1"/>
          <w:shd w:val="clear" w:color="auto" w:fill="FFFFFF"/>
        </w:rPr>
        <w:t>]. Available from: </w:t>
      </w:r>
      <w:hyperlink r:id="rId7" w:tgtFrame="_blank" w:history="1">
        <w:r w:rsidRPr="00AF37F1">
          <w:rPr>
            <w:rFonts w:ascii="Arial" w:hAnsi="Arial" w:cs="Arial"/>
            <w:color w:val="000000" w:themeColor="text1"/>
          </w:rPr>
          <w:t>https://doi.org/10.1176/appi.books.9780890425787</w:t>
        </w:r>
      </w:hyperlink>
      <w:r w:rsidRPr="00AF37F1">
        <w:rPr>
          <w:rFonts w:ascii="Arial" w:hAnsi="Arial" w:cs="Arial"/>
          <w:color w:val="000000" w:themeColor="text1"/>
        </w:rPr>
        <w:t>.</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Style w:val="Strong"/>
          <w:rFonts w:ascii="Arial" w:hAnsi="Arial" w:cs="Arial"/>
          <w:color w:val="000000" w:themeColor="text1"/>
        </w:rPr>
        <w:t>American Association on Intellectual and Developmental Disabilities.</w:t>
      </w:r>
      <w:r w:rsidRPr="00CD41B4">
        <w:rPr>
          <w:rFonts w:ascii="Arial" w:hAnsi="Arial" w:cs="Arial"/>
          <w:color w:val="000000" w:themeColor="text1"/>
        </w:rPr>
        <w:t> Defining criteria for intellectual disability [Internet]. Washington, D.C.: AAIDD; [cited 2026 Feb 10]. Available from: </w:t>
      </w:r>
      <w:hyperlink r:id="rId8" w:tgtFrame="_blank" w:history="1">
        <w:r w:rsidRPr="00CD41B4">
          <w:rPr>
            <w:rFonts w:ascii="Arial" w:hAnsi="Arial" w:cs="Arial"/>
            <w:color w:val="000000" w:themeColor="text1"/>
          </w:rPr>
          <w:t>https://www.aaidd.org/intellectual-disability/definition</w:t>
        </w:r>
      </w:hyperlink>
      <w:r w:rsidRPr="00CD41B4">
        <w:rPr>
          <w:rFonts w:ascii="Arial" w:hAnsi="Arial" w:cs="Arial"/>
          <w:color w:val="000000" w:themeColor="text1"/>
        </w:rPr>
        <w:t>.</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Schalock RL, Luckasson R, Tassé MJ. An overview of intellectual disability: Definition, diagnosis, classification, and systems of supports. American journal on intellectual and developmental disabilities. 2021 Nov 1;126(6):439-42.</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Parkes G, Barrett J, Beail N, Bhasin S, Bouman WP, De Vries AL, Wilson D. Gender Dysphoria and Intellectual Disability: Presentation, Diagnosis and Course. Journal of Intellectual Disability Research. 2015;59:109-10.</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Sternberg KF, Cloutier JG, Ahlers K, Moore C, Koth KA, Soda T, Malhi NK, Verma S, Yeh LC, McLaren JL. Exploring the Intersection of Gender Diversity and Intellectual Disability: A Scoping Review With a Focus on Clinical Care. Journal of Applied Research in Intellectual Disabilities. 2025 Jan;38(1):e70010.</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Smith E, Zirnsak TM, Power J, Lyons A, Bigby C. Social inclusion of LGBTQ and gender diverse adults with intellectual disability in disability services: A systematic review of the literature. Journal of Applied Research in Intellectual Disabilities. 2022 Jan;35(1):46-59.</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Rea HM, Øien RA, Webb SJ, Bansal S, Strang JF, Nordahl-Hansen A. Gender diversity, gender dysphoria/incongruence, and the intersection with Autism Spectrum Disorders: An updated scoping review. Journal of Autism and Developmental Disorders. 2024 Dec 4:1-52.</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Schellenberg D, Bombardier M. Gender Dysphoria and Gender Incongruence. InPsychopathology 2024 Sep 2 (pp. 315-357). Routledge.</w:t>
      </w:r>
    </w:p>
    <w:p w:rsidR="001A07CD"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lastRenderedPageBreak/>
        <w:t>Stenfert Kroese B, Rose J, Heer K, O’Brien A. Gender issues for people with intellectual disabilities and mental health problems: asking what service users and staff think. Advances in Mental Health and Intellectual Disabilities. 2013 Jul 12;7(4):181-90.</w:t>
      </w:r>
    </w:p>
    <w:p w:rsidR="001A07CD" w:rsidRPr="00E275D2"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E275D2">
        <w:rPr>
          <w:rFonts w:ascii="Arial" w:hAnsi="Arial" w:cs="Arial"/>
          <w:color w:val="000000" w:themeColor="text1"/>
        </w:rPr>
        <w:t>Kamat VV. Measuring intelligence of Indian Children. Bombay: Oxford University Press, 1967.</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Mohan I, Tandon R, Kalra H, Trivedi JK. Disability assessment in mental illnesses using Indian disability evaluation assessment scale (IDEAS). Indian Journal of Medical Research. 2005 Jun 1;121(6):759.</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Style w:val="Strong"/>
          <w:rFonts w:ascii="Arial" w:hAnsi="Arial" w:cs="Arial"/>
          <w:color w:val="000000" w:themeColor="text1"/>
        </w:rPr>
        <w:t>World Health Organization.</w:t>
      </w:r>
      <w:r w:rsidRPr="00CD41B4">
        <w:rPr>
          <w:rFonts w:ascii="Arial" w:hAnsi="Arial" w:cs="Arial"/>
          <w:color w:val="000000" w:themeColor="text1"/>
        </w:rPr>
        <w:t> WHODAS 2.0 (World Health Organization Disability Assessment Schedule 2.0): 36-item version, self-administered [Internet]. Geneva: WHO; c2012 [cited 2026 Feb 10]. Available from: </w:t>
      </w:r>
      <w:hyperlink r:id="rId9" w:tgtFrame="_blank" w:history="1">
        <w:r w:rsidRPr="00CD41B4">
          <w:rPr>
            <w:rFonts w:ascii="Arial" w:hAnsi="Arial" w:cs="Arial"/>
            <w:color w:val="000000" w:themeColor="text1"/>
          </w:rPr>
          <w:t>https://www.psychiatry.org/File%20Library/Psychiatrists/Practice/DSM/APA_DSM5_WHODAS-2-Self-Administered.pdf</w:t>
        </w:r>
      </w:hyperlink>
    </w:p>
    <w:p w:rsidR="001A07CD" w:rsidRPr="000E779B"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Roopesh BN. Vineland social maturity scale: An update on administration and scoring. Indian Journal of Clinical Psychology. 2019;46(2):91-102.</w:t>
      </w:r>
    </w:p>
    <w:p w:rsidR="001A07CD" w:rsidRPr="000E779B"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0E779B">
        <w:rPr>
          <w:rFonts w:ascii="Arial" w:hAnsi="Arial" w:cs="Arial"/>
          <w:color w:val="222222"/>
          <w:shd w:val="clear" w:color="auto" w:fill="FFFFFF"/>
        </w:rPr>
        <w:t>Deshpande SN, Singh R, Bhatia T, Shah GD, Singh H, Hawk M, Nimgaonkar VL. Protocol for a coordinated approach for building capacity of mental health researchers in India. Indian Journal of Psychological Medicine. 2020 Dec;42(6_suppl):S5-14.</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Spitzer RL, Kroenke K, Williams JB, Löwe B. A brief measure for assessing generalized anxiety disorder: the GAD-7. Archives of internal medicine. 2006 May 22;166(10):1092-7.</w:t>
      </w:r>
    </w:p>
    <w:p w:rsidR="001A07CD"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Kroenke K, Spitzer RL, Williams JB. The PHQ</w:t>
      </w:r>
      <w:r w:rsidRPr="00CD41B4">
        <w:rPr>
          <w:rFonts w:ascii="Cambria Math" w:hAnsi="Cambria Math" w:cs="Cambria Math"/>
          <w:color w:val="000000" w:themeColor="text1"/>
          <w:shd w:val="clear" w:color="auto" w:fill="FFFFFF"/>
        </w:rPr>
        <w:t>‐</w:t>
      </w:r>
      <w:r w:rsidRPr="00CD41B4">
        <w:rPr>
          <w:rFonts w:ascii="Arial" w:hAnsi="Arial" w:cs="Arial"/>
          <w:color w:val="000000" w:themeColor="text1"/>
          <w:shd w:val="clear" w:color="auto" w:fill="FFFFFF"/>
        </w:rPr>
        <w:t>9: validity of a brief depression severity measure. Journal of general internal medicine. 2001 Sep;16(9):606-13.</w:t>
      </w:r>
    </w:p>
    <w:p w:rsidR="001A07CD" w:rsidRPr="00CD2FE2"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2FE2">
        <w:rPr>
          <w:rFonts w:ascii="Arial" w:hAnsi="Arial" w:cs="Arial"/>
          <w:color w:val="000000" w:themeColor="text1"/>
        </w:rPr>
        <w:t xml:space="preserve"> </w:t>
      </w:r>
      <w:r w:rsidRPr="00CD2FE2">
        <w:rPr>
          <w:rStyle w:val="Strong"/>
          <w:rFonts w:ascii="Arial" w:hAnsi="Arial" w:cs="Arial"/>
          <w:color w:val="000000" w:themeColor="text1"/>
        </w:rPr>
        <w:t>Steensma TD, Kreukels BP, Jürgensen M, Thyen U, de Vries ALC, Cohen-Kettenis PT.</w:t>
      </w:r>
      <w:r w:rsidRPr="00CD2FE2">
        <w:rPr>
          <w:rFonts w:ascii="Arial" w:hAnsi="Arial" w:cs="Arial"/>
          <w:b/>
          <w:color w:val="000000" w:themeColor="text1"/>
        </w:rPr>
        <w:t> </w:t>
      </w:r>
      <w:r w:rsidRPr="00CD2FE2">
        <w:rPr>
          <w:rFonts w:ascii="Arial" w:hAnsi="Arial" w:cs="Arial"/>
          <w:color w:val="000000" w:themeColor="text1"/>
        </w:rPr>
        <w:t>The Utrecht Gender Dysphoria Scale: A validation study [Internet]. </w:t>
      </w:r>
      <w:r w:rsidRPr="00CD2FE2">
        <w:rPr>
          <w:rStyle w:val="Emphasis"/>
          <w:rFonts w:ascii="Arial" w:hAnsi="Arial" w:cs="Arial"/>
          <w:color w:val="000000" w:themeColor="text1"/>
        </w:rPr>
        <w:t>Arch Sex Behav</w:t>
      </w:r>
      <w:r w:rsidRPr="00CD2FE2">
        <w:rPr>
          <w:rFonts w:ascii="Arial" w:hAnsi="Arial" w:cs="Arial"/>
          <w:color w:val="000000" w:themeColor="text1"/>
        </w:rPr>
        <w:t>. 2013;42(5):725-736. Available from: </w:t>
      </w:r>
      <w:hyperlink r:id="rId10" w:tgtFrame="_blank" w:history="1">
        <w:r w:rsidRPr="00CD2FE2">
          <w:rPr>
            <w:rFonts w:ascii="Arial" w:hAnsi="Arial" w:cs="Arial"/>
            <w:color w:val="000000" w:themeColor="text1"/>
          </w:rPr>
          <w:t>https://doi.org/10.1007/s10508-012-0013-9</w:t>
        </w:r>
      </w:hyperlink>
      <w:r w:rsidRPr="00CD2FE2">
        <w:rPr>
          <w:rFonts w:ascii="Arial" w:hAnsi="Arial" w:cs="Arial"/>
          <w:color w:val="000000" w:themeColor="text1"/>
        </w:rPr>
        <w:t>.</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rPr>
        <w:t xml:space="preserve">Parkes G, Hall I. </w:t>
      </w:r>
      <w:r w:rsidRPr="00CD41B4">
        <w:rPr>
          <w:rStyle w:val="Strong"/>
          <w:rFonts w:ascii="Arial" w:hAnsi="Arial" w:cs="Arial"/>
          <w:color w:val="000000" w:themeColor="text1"/>
        </w:rPr>
        <w:t>Gender dysphoria and cross-dressing in people with intellectual disability: a literature review.</w:t>
      </w:r>
      <w:r w:rsidRPr="00CD41B4">
        <w:rPr>
          <w:rFonts w:ascii="Arial" w:hAnsi="Arial" w:cs="Arial"/>
          <w:color w:val="000000" w:themeColor="text1"/>
        </w:rPr>
        <w:t xml:space="preserve"> </w:t>
      </w:r>
      <w:r w:rsidRPr="00CD41B4">
        <w:rPr>
          <w:rStyle w:val="Emphasis"/>
          <w:rFonts w:ascii="Arial" w:hAnsi="Arial" w:cs="Arial"/>
          <w:color w:val="000000" w:themeColor="text1"/>
        </w:rPr>
        <w:t>Ment Retard</w:t>
      </w:r>
      <w:r w:rsidRPr="00CD41B4">
        <w:rPr>
          <w:rFonts w:ascii="Arial" w:hAnsi="Arial" w:cs="Arial"/>
          <w:color w:val="000000" w:themeColor="text1"/>
        </w:rPr>
        <w:t>. 2006;44(4):260–71. doi:10.1352/0047-6765(2006)44[260:GDACIP]2.0.CO;2</w:t>
      </w:r>
    </w:p>
    <w:p w:rsidR="001A07CD"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Kishore MT, Udipi GA, Seshadri SP. Clinical practice guidelines for assessment and management of intellectual disability. Indian journal of psychiatry. 2019 Jan 1;61(Suppl 2):194-210.</w:t>
      </w:r>
      <w:r w:rsidRPr="00CD41B4">
        <w:rPr>
          <w:rFonts w:ascii="Arial" w:hAnsi="Arial" w:cs="Arial"/>
          <w:color w:val="000000" w:themeColor="text1"/>
        </w:rPr>
        <w:t xml:space="preserve"> </w:t>
      </w:r>
    </w:p>
    <w:p w:rsidR="001A07CD"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2D4FF7">
        <w:rPr>
          <w:rFonts w:ascii="Arial" w:hAnsi="Arial" w:cs="Arial"/>
          <w:color w:val="000000" w:themeColor="text1"/>
          <w:shd w:val="clear" w:color="auto" w:fill="FFFFFF"/>
        </w:rPr>
        <w:t>Strang JF, Meagher H, Kenworthy L, de Vries AL, Menvielle E, Leibowitz S, Janssen A, Cohen-Kettenis P, Shumer DE, Edwards-Leeper L, Pleak RR. Initial clinical guidelines for co-occurring autism spectrum disorder and gender dysphoria or incongruence in adolescents. Journal of Clinical Child &amp; Adolescent Psychology. 2018 Jan 2.</w:t>
      </w:r>
    </w:p>
    <w:p w:rsidR="001A07CD" w:rsidRPr="00ED0FAD"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5F65A1">
        <w:rPr>
          <w:rFonts w:ascii="Arial" w:hAnsi="Arial" w:cs="Arial"/>
          <w:color w:val="000000" w:themeColor="text1"/>
          <w:shd w:val="clear" w:color="auto" w:fill="FFFFFF"/>
        </w:rPr>
        <w:t>Devi N, Bickenbach J, Stucki G. Moving towards substituted or supported decision-making? Article 12 of the Convention on the Rights of Persons with Disabilities. Alter. 2011 Oct 1;5(4):249-64.</w:t>
      </w:r>
    </w:p>
    <w:p w:rsidR="001A07CD" w:rsidRPr="00ED0FAD"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rPr>
        <w:t>Srinivasan, Shiva Prakash; Chandrasekaran, Sruti</w:t>
      </w:r>
      <w:r w:rsidRPr="00CD41B4">
        <w:rPr>
          <w:rFonts w:ascii="Arial" w:hAnsi="Arial" w:cs="Arial"/>
          <w:color w:val="000000" w:themeColor="text1"/>
          <w:vertAlign w:val="superscript"/>
        </w:rPr>
        <w:t>1</w:t>
      </w:r>
      <w:r w:rsidRPr="00CD41B4">
        <w:rPr>
          <w:rFonts w:ascii="Arial" w:hAnsi="Arial" w:cs="Arial"/>
          <w:color w:val="000000" w:themeColor="text1"/>
        </w:rPr>
        <w:t>. Care of Transgender Individuals in India: A Clinical Perspective. Indian Journal of Social Psychiatry 36(4):p 284-288, Oct–Dec 2020. | DOI: 10.4103/ijsp.ijsp_88_20.</w:t>
      </w:r>
    </w:p>
    <w:p w:rsidR="001A07CD" w:rsidRPr="00CD41B4" w:rsidRDefault="001A07CD" w:rsidP="001A07CD">
      <w:pPr>
        <w:pStyle w:val="ds-markdown-paragraph"/>
        <w:numPr>
          <w:ilvl w:val="0"/>
          <w:numId w:val="4"/>
        </w:numPr>
        <w:shd w:val="clear" w:color="auto" w:fill="FFFFFF"/>
        <w:spacing w:after="0" w:afterAutospacing="0"/>
        <w:ind w:left="0"/>
        <w:jc w:val="both"/>
        <w:rPr>
          <w:rFonts w:ascii="Arial" w:hAnsi="Arial" w:cs="Arial"/>
          <w:color w:val="000000" w:themeColor="text1"/>
        </w:rPr>
      </w:pPr>
      <w:r w:rsidRPr="00CD41B4">
        <w:rPr>
          <w:rFonts w:ascii="Arial" w:hAnsi="Arial" w:cs="Arial"/>
          <w:color w:val="000000" w:themeColor="text1"/>
          <w:shd w:val="clear" w:color="auto" w:fill="FFFFFF"/>
        </w:rPr>
        <w:t>Hendricks ML, Testa RJ. A conceptual framework for clinical work with transgender and gender nonconforming clients: An adaptation of the Minority Stress Model. Professional psychology: Research and practice. 2012 Oct;43(5):460.</w:t>
      </w:r>
      <w:r w:rsidRPr="00CD41B4">
        <w:rPr>
          <w:rFonts w:ascii="Arial" w:hAnsi="Arial" w:cs="Arial"/>
          <w:color w:val="000000" w:themeColor="text1"/>
        </w:rPr>
        <w:t xml:space="preserve"> </w:t>
      </w:r>
    </w:p>
    <w:p w:rsidR="003909A9" w:rsidRPr="000D038B" w:rsidRDefault="001A07CD" w:rsidP="00FA45D0">
      <w:pPr>
        <w:pStyle w:val="ds-markdown-paragraph"/>
        <w:numPr>
          <w:ilvl w:val="0"/>
          <w:numId w:val="4"/>
        </w:numPr>
        <w:shd w:val="clear" w:color="auto" w:fill="FFFFFF"/>
        <w:spacing w:after="0" w:afterAutospacing="0"/>
        <w:ind w:left="0"/>
        <w:jc w:val="both"/>
        <w:rPr>
          <w:rFonts w:ascii="Arial" w:hAnsi="Arial" w:cs="Arial"/>
        </w:rPr>
      </w:pPr>
      <w:r w:rsidRPr="00CD41B4">
        <w:rPr>
          <w:rFonts w:ascii="Arial" w:hAnsi="Arial" w:cs="Arial"/>
          <w:color w:val="000000" w:themeColor="text1"/>
          <w:shd w:val="clear" w:color="auto" w:fill="FFFFFF"/>
        </w:rPr>
        <w:t>Davy Z, Toze M. What is gender dysphoria? A critical systematic narrative review. Transgender health. 2018 Nov 1;3(1):159-69.</w:t>
      </w:r>
      <w:bookmarkStart w:id="0" w:name="_GoBack"/>
      <w:bookmarkEnd w:id="0"/>
      <w:r w:rsidR="00FA45D0" w:rsidRPr="000D038B">
        <w:rPr>
          <w:rFonts w:ascii="Arial" w:hAnsi="Arial" w:cs="Arial"/>
        </w:rPr>
        <w:t xml:space="preserve"> </w:t>
      </w:r>
    </w:p>
    <w:sectPr w:rsidR="003909A9" w:rsidRPr="000D038B" w:rsidSect="00023407">
      <w:pgSz w:w="11906" w:h="16838"/>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PMingLiU, 新細明體">
    <w:charset w:val="00"/>
    <w:family w:val="auto"/>
    <w:pitch w:val="variable"/>
  </w:font>
  <w:font w:name="Souvenir Lt BT">
    <w:altName w:val="Times New Roman"/>
    <w:charset w:val="00"/>
    <w:family w:val="roman"/>
    <w:pitch w:val="variable"/>
  </w:font>
  <w:font w:name="Segoe UI">
    <w:panose1 w:val="020B0502040204020203"/>
    <w:charset w:val="00"/>
    <w:family w:val="swiss"/>
    <w:pitch w:val="variable"/>
    <w:sig w:usb0="E4002EFF" w:usb1="C000E47F" w:usb2="00000009" w:usb3="00000000" w:csb0="000001FF" w:csb1="00000000"/>
  </w:font>
  <w:font w:name="Mangal">
    <w:altName w:val="Courier New"/>
    <w:panose1 w:val="00000400000000000000"/>
    <w:charset w:val="01"/>
    <w:family w:val="roman"/>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ED3E95"/>
    <w:multiLevelType w:val="multilevel"/>
    <w:tmpl w:val="24C27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506412"/>
    <w:multiLevelType w:val="multilevel"/>
    <w:tmpl w:val="A650E05E"/>
    <w:styleLink w:val="WW8Num2"/>
    <w:lvl w:ilvl="0">
      <w:numFmt w:val="bullet"/>
      <w:lvlText w:val=""/>
      <w:lvlJc w:val="left"/>
      <w:pPr>
        <w:ind w:left="792" w:hanging="360"/>
      </w:pPr>
      <w:rPr>
        <w:rFonts w:ascii="Wingdings" w:hAnsi="Wingdings"/>
        <w:color w:val="000000"/>
        <w:sz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5521171E"/>
    <w:multiLevelType w:val="multilevel"/>
    <w:tmpl w:val="FA5C2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1"/>
    <w:lvlOverride w:ilvl="0"/>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A0F"/>
    <w:rsid w:val="00023407"/>
    <w:rsid w:val="000D038B"/>
    <w:rsid w:val="00166C85"/>
    <w:rsid w:val="001A07CD"/>
    <w:rsid w:val="003909A9"/>
    <w:rsid w:val="00760DF7"/>
    <w:rsid w:val="007930D0"/>
    <w:rsid w:val="00812A0F"/>
    <w:rsid w:val="00897DC1"/>
    <w:rsid w:val="009D5C41"/>
    <w:rsid w:val="00A970D0"/>
    <w:rsid w:val="00B015BB"/>
    <w:rsid w:val="00DA246D"/>
    <w:rsid w:val="00F51CD1"/>
    <w:rsid w:val="00FA45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64B03"/>
  <w15:chartTrackingRefBased/>
  <w15:docId w15:val="{7E832165-76D3-44F4-844B-0A9B690C1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A0F"/>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zh-CN" w:bidi="hi-IN"/>
    </w:rPr>
  </w:style>
  <w:style w:type="paragraph" w:styleId="Heading3">
    <w:name w:val="heading 3"/>
    <w:basedOn w:val="Standard"/>
    <w:next w:val="Standard"/>
    <w:link w:val="Heading3Char"/>
    <w:rsid w:val="00812A0F"/>
    <w:pPr>
      <w:keepNext/>
      <w:widowControl w:val="0"/>
      <w:pBdr>
        <w:bottom w:val="single" w:sz="8" w:space="1" w:color="000000"/>
      </w:pBdr>
      <w:spacing w:before="180" w:line="320" w:lineRule="atLeast"/>
      <w:outlineLvl w:val="2"/>
    </w:pPr>
    <w:rPr>
      <w:rFonts w:ascii="Garamond" w:eastAsia="PMingLiU, 新細明體" w:hAnsi="Garamond"/>
      <w:b/>
      <w:caps/>
      <w:sz w:val="22"/>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812A0F"/>
    <w:rPr>
      <w:rFonts w:ascii="Garamond" w:eastAsia="PMingLiU, 新細明體" w:hAnsi="Garamond" w:cs="Times New Roman"/>
      <w:b/>
      <w:caps/>
      <w:kern w:val="3"/>
      <w:szCs w:val="20"/>
      <w:lang w:eastAsia="zh-CN"/>
    </w:rPr>
  </w:style>
  <w:style w:type="paragraph" w:customStyle="1" w:styleId="Standard">
    <w:name w:val="Standard"/>
    <w:rsid w:val="00812A0F"/>
    <w:pPr>
      <w:suppressAutoHyphens/>
      <w:autoSpaceDN w:val="0"/>
      <w:spacing w:after="0" w:line="240" w:lineRule="auto"/>
      <w:textAlignment w:val="baseline"/>
    </w:pPr>
    <w:rPr>
      <w:rFonts w:ascii="Times New Roman" w:eastAsia="Times New Roman" w:hAnsi="Times New Roman" w:cs="Times New Roman"/>
      <w:kern w:val="3"/>
      <w:sz w:val="24"/>
      <w:szCs w:val="24"/>
      <w:lang w:val="en-GB" w:eastAsia="zh-CN"/>
    </w:rPr>
  </w:style>
  <w:style w:type="paragraph" w:styleId="NormalWeb">
    <w:name w:val="Normal (Web)"/>
    <w:basedOn w:val="Standard"/>
    <w:uiPriority w:val="99"/>
    <w:rsid w:val="00812A0F"/>
    <w:pPr>
      <w:spacing w:before="280" w:after="280"/>
      <w:ind w:firstLine="216"/>
    </w:pPr>
    <w:rPr>
      <w:rFonts w:ascii="Souvenir Lt BT" w:hAnsi="Souvenir Lt BT"/>
    </w:rPr>
  </w:style>
  <w:style w:type="paragraph" w:customStyle="1" w:styleId="Footnote">
    <w:name w:val="Footnote"/>
    <w:basedOn w:val="Standard"/>
    <w:rsid w:val="00812A0F"/>
    <w:pPr>
      <w:spacing w:line="280" w:lineRule="exact"/>
      <w:ind w:firstLine="216"/>
      <w:jc w:val="both"/>
    </w:pPr>
    <w:rPr>
      <w:rFonts w:ascii="Souvenir Lt BT" w:hAnsi="Souvenir Lt BT"/>
      <w:sz w:val="20"/>
      <w:szCs w:val="20"/>
    </w:rPr>
  </w:style>
  <w:style w:type="character" w:styleId="CommentReference">
    <w:name w:val="annotation reference"/>
    <w:basedOn w:val="DefaultParagraphFont"/>
    <w:rsid w:val="00812A0F"/>
    <w:rPr>
      <w:sz w:val="16"/>
      <w:szCs w:val="16"/>
    </w:rPr>
  </w:style>
  <w:style w:type="numbering" w:customStyle="1" w:styleId="WW8Num2">
    <w:name w:val="WW8Num2"/>
    <w:basedOn w:val="NoList"/>
    <w:rsid w:val="00812A0F"/>
    <w:pPr>
      <w:numPr>
        <w:numId w:val="1"/>
      </w:numPr>
    </w:pPr>
  </w:style>
  <w:style w:type="paragraph" w:styleId="BalloonText">
    <w:name w:val="Balloon Text"/>
    <w:basedOn w:val="Normal"/>
    <w:link w:val="BalloonTextChar"/>
    <w:uiPriority w:val="99"/>
    <w:semiHidden/>
    <w:unhideWhenUsed/>
    <w:rsid w:val="00812A0F"/>
    <w:rPr>
      <w:rFonts w:ascii="Segoe UI" w:hAnsi="Segoe UI" w:cs="Mangal"/>
      <w:sz w:val="18"/>
      <w:szCs w:val="16"/>
    </w:rPr>
  </w:style>
  <w:style w:type="character" w:customStyle="1" w:styleId="BalloonTextChar">
    <w:name w:val="Balloon Text Char"/>
    <w:basedOn w:val="DefaultParagraphFont"/>
    <w:link w:val="BalloonText"/>
    <w:uiPriority w:val="99"/>
    <w:semiHidden/>
    <w:rsid w:val="00812A0F"/>
    <w:rPr>
      <w:rFonts w:ascii="Segoe UI" w:eastAsia="Lucida Sans Unicode" w:hAnsi="Segoe UI" w:cs="Mangal"/>
      <w:kern w:val="3"/>
      <w:sz w:val="18"/>
      <w:szCs w:val="16"/>
      <w:lang w:eastAsia="zh-CN" w:bidi="hi-IN"/>
    </w:rPr>
  </w:style>
  <w:style w:type="paragraph" w:customStyle="1" w:styleId="ds-markdown-paragraph">
    <w:name w:val="ds-markdown-paragraph"/>
    <w:basedOn w:val="Normal"/>
    <w:rsid w:val="00760DF7"/>
    <w:pPr>
      <w:widowControl/>
      <w:suppressAutoHyphens w:val="0"/>
      <w:autoSpaceDN/>
      <w:spacing w:before="100" w:beforeAutospacing="1" w:after="100" w:afterAutospacing="1"/>
      <w:textAlignment w:val="auto"/>
    </w:pPr>
    <w:rPr>
      <w:rFonts w:eastAsia="Times New Roman" w:cs="Times New Roman"/>
      <w:kern w:val="0"/>
      <w:lang w:eastAsia="en-US" w:bidi="ar-SA"/>
    </w:rPr>
  </w:style>
  <w:style w:type="character" w:styleId="Hyperlink">
    <w:name w:val="Hyperlink"/>
    <w:basedOn w:val="DefaultParagraphFont"/>
    <w:uiPriority w:val="99"/>
    <w:unhideWhenUsed/>
    <w:rsid w:val="00760DF7"/>
    <w:rPr>
      <w:color w:val="0563C1" w:themeColor="hyperlink"/>
      <w:u w:val="single"/>
    </w:rPr>
  </w:style>
  <w:style w:type="character" w:styleId="Strong">
    <w:name w:val="Strong"/>
    <w:basedOn w:val="DefaultParagraphFont"/>
    <w:uiPriority w:val="22"/>
    <w:qFormat/>
    <w:rsid w:val="00DA246D"/>
    <w:rPr>
      <w:b/>
      <w:bCs/>
    </w:rPr>
  </w:style>
  <w:style w:type="character" w:styleId="Emphasis">
    <w:name w:val="Emphasis"/>
    <w:basedOn w:val="DefaultParagraphFont"/>
    <w:uiPriority w:val="20"/>
    <w:qFormat/>
    <w:rsid w:val="001A07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aidd.org/intellectual-disability/definition" TargetMode="External"/><Relationship Id="rId3" Type="http://schemas.openxmlformats.org/officeDocument/2006/relationships/settings" Target="settings.xml"/><Relationship Id="rId7" Type="http://schemas.openxmlformats.org/officeDocument/2006/relationships/hyperlink" Target="https://doi.org/10.1176/appi.books.978089042578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cbi.nlm.nih.gov/books/NBK532313/" TargetMode="External"/><Relationship Id="rId11" Type="http://schemas.openxmlformats.org/officeDocument/2006/relationships/fontTable" Target="fontTable.xml"/><Relationship Id="rId5" Type="http://schemas.openxmlformats.org/officeDocument/2006/relationships/hyperlink" Target="https://www.msdmanuals.com/en-in/professional/psychiatric-disorders/gender-incongruence-and-gender-dysphoria/gender-incongruence-and-gender-dysphoria" TargetMode="External"/><Relationship Id="rId10" Type="http://schemas.openxmlformats.org/officeDocument/2006/relationships/hyperlink" Target="https://doi.org/10.1007/s10508-012-0013-9" TargetMode="External"/><Relationship Id="rId4" Type="http://schemas.openxmlformats.org/officeDocument/2006/relationships/webSettings" Target="webSettings.xml"/><Relationship Id="rId9" Type="http://schemas.openxmlformats.org/officeDocument/2006/relationships/hyperlink" Target="https://www.psychiatry.org/File%2520Library/Psychiatrists/Practice/DSM/APA_DSM5_WHODAS-2-Self-Administered.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7</Pages>
  <Words>2368</Words>
  <Characters>13502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Samran</dc:creator>
  <cp:keywords/>
  <dc:description/>
  <cp:lastModifiedBy>Samran</cp:lastModifiedBy>
  <cp:revision>5</cp:revision>
  <dcterms:created xsi:type="dcterms:W3CDTF">2026-02-23T09:33:00Z</dcterms:created>
  <dcterms:modified xsi:type="dcterms:W3CDTF">2026-02-23T11:29:00Z</dcterms:modified>
</cp:coreProperties>
</file>