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B5357" w:rsidRPr="003B5357" w:rsidRDefault="003B5357" w:rsidP="003B5357">
      <w:pPr>
        <w:jc w:val="center"/>
        <w:rPr>
          <w:b/>
          <w:sz w:val="40"/>
          <w:szCs w:val="40"/>
          <w:u w:val="single"/>
          <w:lang w:val="en-US"/>
        </w:rPr>
      </w:pPr>
      <w:bookmarkStart w:id="0" w:name="_GoBack"/>
      <w:r w:rsidRPr="003B5357">
        <w:rPr>
          <w:b/>
          <w:sz w:val="40"/>
          <w:szCs w:val="40"/>
          <w:u w:val="single"/>
          <w:lang w:val="en-US"/>
        </w:rPr>
        <w:t>Neonatal Osteogenesis Imperfecta Revealed by Antenatal Fractures: A Case Report</w:t>
      </w:r>
    </w:p>
    <w:bookmarkEnd w:id="0"/>
    <w:p w:rsidR="00146D84" w:rsidRPr="003B5357" w:rsidRDefault="00146D84" w:rsidP="003B5357">
      <w:pPr>
        <w:rPr>
          <w:rFonts w:ascii="Arial" w:hAnsi="Arial" w:cs="Arial"/>
          <w:b/>
          <w:bCs/>
          <w:color w:val="000000"/>
          <w:sz w:val="23"/>
          <w:szCs w:val="23"/>
          <w:bdr w:val="none" w:sz="0" w:space="0" w:color="auto" w:frame="1"/>
          <w:lang w:val="en-US"/>
        </w:rPr>
      </w:pPr>
    </w:p>
    <w:p w:rsidR="00146D84" w:rsidRPr="003B5357" w:rsidRDefault="00146D84" w:rsidP="00146D84">
      <w:pPr>
        <w:pStyle w:val="NormalWeb"/>
        <w:rPr>
          <w:lang w:val="en-US"/>
        </w:rPr>
      </w:pPr>
      <w:r w:rsidRPr="003B5357">
        <w:rPr>
          <w:rFonts w:ascii="CaeciliaLTStd" w:hAnsi="CaeciliaLTStd"/>
          <w:b/>
          <w:bCs/>
          <w:i/>
          <w:iCs/>
          <w:lang w:val="en-US"/>
        </w:rPr>
        <w:t xml:space="preserve"> </w:t>
      </w:r>
      <w:proofErr w:type="spellStart"/>
      <w:r w:rsidRPr="003B5357">
        <w:rPr>
          <w:rFonts w:ascii="CaeciliaLTStd" w:hAnsi="CaeciliaLTStd"/>
          <w:b/>
          <w:bCs/>
          <w:i/>
          <w:iCs/>
          <w:lang w:val="en-US"/>
        </w:rPr>
        <w:t>Anass</w:t>
      </w:r>
      <w:proofErr w:type="spellEnd"/>
      <w:r w:rsidRPr="003B5357">
        <w:rPr>
          <w:rFonts w:ascii="CaeciliaLTStd" w:hAnsi="CaeciliaLTStd"/>
          <w:b/>
          <w:bCs/>
          <w:i/>
          <w:iCs/>
          <w:lang w:val="en-US"/>
        </w:rPr>
        <w:t xml:space="preserve"> </w:t>
      </w:r>
      <w:proofErr w:type="gramStart"/>
      <w:r w:rsidRPr="003B5357">
        <w:rPr>
          <w:rFonts w:ascii="CaeciliaLTStd" w:hAnsi="CaeciliaLTStd"/>
          <w:b/>
          <w:bCs/>
          <w:i/>
          <w:iCs/>
          <w:lang w:val="en-US"/>
        </w:rPr>
        <w:t>Ayad</w:t>
      </w:r>
      <w:r w:rsidR="000D6BCA">
        <w:rPr>
          <w:rFonts w:ascii="CaeciliaLTStd" w:hAnsi="CaeciliaLTStd"/>
          <w:b/>
          <w:bCs/>
          <w:i/>
          <w:iCs/>
          <w:lang w:val="en-US"/>
        </w:rPr>
        <w:t xml:space="preserve"> ;</w:t>
      </w:r>
      <w:proofErr w:type="gramEnd"/>
      <w:r w:rsidR="000D6BCA">
        <w:rPr>
          <w:rFonts w:ascii="CaeciliaLTStd" w:hAnsi="CaeciliaLTStd"/>
          <w:b/>
          <w:bCs/>
          <w:i/>
          <w:iCs/>
          <w:lang w:val="en-US"/>
        </w:rPr>
        <w:t xml:space="preserve"> </w:t>
      </w:r>
      <w:proofErr w:type="spellStart"/>
      <w:r w:rsidR="000D6BCA" w:rsidRPr="003B5357">
        <w:rPr>
          <w:rFonts w:ascii="CaeciliaLTStd" w:hAnsi="CaeciliaLTStd"/>
          <w:b/>
          <w:bCs/>
          <w:i/>
          <w:iCs/>
          <w:lang w:val="en-US"/>
        </w:rPr>
        <w:t>Salahiddine</w:t>
      </w:r>
      <w:proofErr w:type="spellEnd"/>
      <w:r w:rsidR="000D6BCA" w:rsidRPr="003B5357">
        <w:rPr>
          <w:rFonts w:ascii="CaeciliaLTStd" w:hAnsi="CaeciliaLTStd"/>
          <w:b/>
          <w:bCs/>
          <w:i/>
          <w:iCs/>
          <w:lang w:val="en-US"/>
        </w:rPr>
        <w:t xml:space="preserve"> </w:t>
      </w:r>
      <w:proofErr w:type="spellStart"/>
      <w:r w:rsidR="000D6BCA" w:rsidRPr="003B5357">
        <w:rPr>
          <w:rFonts w:ascii="CaeciliaLTStd" w:hAnsi="CaeciliaLTStd"/>
          <w:b/>
          <w:bCs/>
          <w:i/>
          <w:iCs/>
          <w:lang w:val="en-US"/>
        </w:rPr>
        <w:t>Saghir</w:t>
      </w:r>
      <w:proofErr w:type="spellEnd"/>
      <w:r w:rsidR="000D6BCA">
        <w:rPr>
          <w:rFonts w:ascii="CaeciliaLTStd" w:hAnsi="CaeciliaLTStd"/>
          <w:b/>
          <w:bCs/>
          <w:i/>
          <w:iCs/>
          <w:color w:val="007FAA"/>
          <w:position w:val="8"/>
          <w:sz w:val="16"/>
          <w:szCs w:val="16"/>
          <w:lang w:val="en-US"/>
        </w:rPr>
        <w:t xml:space="preserve"> </w:t>
      </w:r>
      <w:r w:rsidR="000D6BCA">
        <w:rPr>
          <w:rFonts w:ascii="CaeciliaLTStd" w:hAnsi="CaeciliaLTStd"/>
          <w:b/>
          <w:bCs/>
          <w:i/>
          <w:iCs/>
          <w:color w:val="007FAA"/>
          <w:position w:val="8"/>
          <w:sz w:val="16"/>
          <w:szCs w:val="16"/>
          <w:lang w:val="en-US"/>
        </w:rPr>
        <w:t xml:space="preserve"> , </w:t>
      </w:r>
      <w:r w:rsidRPr="003B5357">
        <w:rPr>
          <w:rFonts w:ascii="CaeciliaLTStd" w:hAnsi="CaeciliaLTStd"/>
          <w:b/>
          <w:bCs/>
          <w:i/>
          <w:iCs/>
          <w:lang w:val="en-US"/>
        </w:rPr>
        <w:t xml:space="preserve">Mohamed </w:t>
      </w:r>
      <w:proofErr w:type="spellStart"/>
      <w:r w:rsidRPr="003B5357">
        <w:rPr>
          <w:rFonts w:ascii="CaeciliaLTStd" w:hAnsi="CaeciliaLTStd"/>
          <w:b/>
          <w:bCs/>
          <w:i/>
          <w:iCs/>
          <w:lang w:val="en-US"/>
        </w:rPr>
        <w:t>Sellout</w:t>
      </w:r>
      <w:r w:rsidR="000D6BCA">
        <w:rPr>
          <w:rFonts w:ascii="CaeciliaLTStd" w:hAnsi="CaeciliaLTStd"/>
          <w:b/>
          <w:bCs/>
          <w:i/>
          <w:iCs/>
          <w:lang w:val="en-US"/>
        </w:rPr>
        <w:t>i</w:t>
      </w:r>
      <w:proofErr w:type="spellEnd"/>
      <w:r w:rsidR="000D6BCA">
        <w:rPr>
          <w:rFonts w:ascii="CaeciliaLTStd" w:hAnsi="CaeciliaLTStd"/>
          <w:b/>
          <w:bCs/>
          <w:i/>
          <w:iCs/>
          <w:lang w:val="en-US"/>
        </w:rPr>
        <w:t xml:space="preserve"> , </w:t>
      </w:r>
      <w:r w:rsidR="000D6BCA">
        <w:rPr>
          <w:rFonts w:ascii="CaeciliaLTStd" w:hAnsi="CaeciliaLTStd"/>
          <w:b/>
          <w:bCs/>
          <w:i/>
          <w:iCs/>
          <w:color w:val="007FAA"/>
          <w:position w:val="8"/>
          <w:sz w:val="16"/>
          <w:szCs w:val="16"/>
          <w:lang w:val="en-US"/>
        </w:rPr>
        <w:t xml:space="preserve">, </w:t>
      </w:r>
      <w:r w:rsidRPr="003B5357">
        <w:rPr>
          <w:rFonts w:ascii="CaeciliaLTStd" w:hAnsi="CaeciliaLTStd"/>
          <w:b/>
          <w:bCs/>
          <w:i/>
          <w:iCs/>
          <w:lang w:val="en-US"/>
        </w:rPr>
        <w:t xml:space="preserve"> Rachid </w:t>
      </w:r>
      <w:proofErr w:type="spellStart"/>
      <w:r w:rsidRPr="003B5357">
        <w:rPr>
          <w:rFonts w:ascii="CaeciliaLTStd" w:hAnsi="CaeciliaLTStd"/>
          <w:b/>
          <w:bCs/>
          <w:i/>
          <w:iCs/>
          <w:lang w:val="en-US"/>
        </w:rPr>
        <w:t>Abilkassem</w:t>
      </w:r>
      <w:proofErr w:type="spellEnd"/>
      <w:r w:rsidRPr="003B5357">
        <w:rPr>
          <w:rFonts w:ascii="CaeciliaLTStd" w:hAnsi="CaeciliaLTStd"/>
          <w:b/>
          <w:bCs/>
          <w:i/>
          <w:iCs/>
          <w:lang w:val="en-US"/>
        </w:rPr>
        <w:t xml:space="preserve">, </w:t>
      </w:r>
      <w:proofErr w:type="spellStart"/>
      <w:r w:rsidRPr="003B5357">
        <w:rPr>
          <w:rFonts w:ascii="CaeciliaLTStd" w:hAnsi="CaeciliaLTStd"/>
          <w:b/>
          <w:bCs/>
          <w:i/>
          <w:iCs/>
          <w:color w:val="007FAA"/>
          <w:position w:val="8"/>
          <w:sz w:val="16"/>
          <w:szCs w:val="16"/>
          <w:lang w:val="en-US"/>
        </w:rPr>
        <w:t>a</w:t>
      </w:r>
      <w:r w:rsidRPr="003B5357">
        <w:rPr>
          <w:rFonts w:ascii="CaeciliaLTStd" w:hAnsi="CaeciliaLTStd"/>
          <w:b/>
          <w:bCs/>
          <w:i/>
          <w:iCs/>
          <w:position w:val="8"/>
          <w:sz w:val="16"/>
          <w:szCs w:val="16"/>
          <w:lang w:val="en-US"/>
        </w:rPr>
        <w:t>,</w:t>
      </w:r>
      <w:r w:rsidRPr="003B5357">
        <w:rPr>
          <w:rFonts w:ascii="CaeciliaLTStd" w:hAnsi="CaeciliaLTStd"/>
          <w:b/>
          <w:bCs/>
          <w:i/>
          <w:iCs/>
          <w:color w:val="007FAA"/>
          <w:position w:val="8"/>
          <w:sz w:val="16"/>
          <w:szCs w:val="16"/>
          <w:lang w:val="en-US"/>
        </w:rPr>
        <w:t>b</w:t>
      </w:r>
      <w:proofErr w:type="spellEnd"/>
      <w:r w:rsidRPr="003B5357">
        <w:rPr>
          <w:rFonts w:ascii="CaeciliaLTStd" w:hAnsi="CaeciliaLTStd"/>
          <w:b/>
          <w:bCs/>
          <w:i/>
          <w:iCs/>
          <w:color w:val="007FAA"/>
          <w:position w:val="8"/>
          <w:sz w:val="16"/>
          <w:szCs w:val="16"/>
          <w:lang w:val="en-US"/>
        </w:rPr>
        <w:t xml:space="preserve"> </w:t>
      </w:r>
    </w:p>
    <w:p w:rsidR="00146D84" w:rsidRPr="003B5357" w:rsidRDefault="00146D84" w:rsidP="00146D84">
      <w:pPr>
        <w:pStyle w:val="NormalWeb"/>
        <w:rPr>
          <w:rFonts w:ascii="CaeciliaLTStd" w:hAnsi="CaeciliaLTStd"/>
          <w:i/>
          <w:iCs/>
          <w:sz w:val="16"/>
          <w:szCs w:val="16"/>
          <w:lang w:val="en-US"/>
        </w:rPr>
      </w:pPr>
      <w:r w:rsidRPr="003B5357">
        <w:rPr>
          <w:rFonts w:ascii="CaeciliaLTStd" w:hAnsi="CaeciliaLTStd"/>
          <w:position w:val="6"/>
          <w:sz w:val="12"/>
          <w:szCs w:val="12"/>
          <w:lang w:val="en-US"/>
        </w:rPr>
        <w:t xml:space="preserve">a </w:t>
      </w:r>
      <w:r w:rsidRPr="003B5357">
        <w:rPr>
          <w:rFonts w:ascii="CaeciliaLTStd" w:hAnsi="CaeciliaLTStd"/>
          <w:i/>
          <w:iCs/>
          <w:sz w:val="16"/>
          <w:szCs w:val="16"/>
          <w:lang w:val="en-US"/>
        </w:rPr>
        <w:t xml:space="preserve">Neonatal Medicine and Intensive Care Unit, Mohammed V Military Teaching Hospital, Rabat, Morocco </w:t>
      </w:r>
      <w:r w:rsidRPr="003B5357">
        <w:rPr>
          <w:rFonts w:ascii="CaeciliaLTStd" w:hAnsi="CaeciliaLTStd"/>
          <w:position w:val="6"/>
          <w:sz w:val="12"/>
          <w:szCs w:val="12"/>
          <w:lang w:val="en-US"/>
        </w:rPr>
        <w:t xml:space="preserve">b </w:t>
      </w:r>
      <w:r w:rsidRPr="003B5357">
        <w:rPr>
          <w:rFonts w:ascii="CaeciliaLTStd" w:hAnsi="CaeciliaLTStd"/>
          <w:i/>
          <w:iCs/>
          <w:sz w:val="16"/>
          <w:szCs w:val="16"/>
          <w:lang w:val="en-US"/>
        </w:rPr>
        <w:t xml:space="preserve">Faculty of Medicine and Pharmacy, Rabat, Morocco </w:t>
      </w:r>
    </w:p>
    <w:p w:rsidR="003B5357" w:rsidRPr="003A5ADE" w:rsidRDefault="003B5357" w:rsidP="003B5357">
      <w:pPr>
        <w:pStyle w:val="Titre3"/>
        <w:rPr>
          <w:rFonts w:asciiTheme="minorHAnsi" w:hAnsiTheme="minorHAnsi" w:cstheme="minorHAnsi"/>
          <w:color w:val="000000" w:themeColor="text1"/>
          <w:sz w:val="32"/>
          <w:szCs w:val="32"/>
          <w:lang w:val="en-US"/>
        </w:rPr>
      </w:pPr>
      <w:r w:rsidRPr="003A5ADE">
        <w:rPr>
          <w:rStyle w:val="lev"/>
          <w:rFonts w:asciiTheme="minorHAnsi" w:hAnsiTheme="minorHAnsi" w:cstheme="minorHAnsi"/>
          <w:bCs w:val="0"/>
          <w:color w:val="000000" w:themeColor="text1"/>
          <w:sz w:val="32"/>
          <w:szCs w:val="32"/>
          <w:lang w:val="en-US"/>
        </w:rPr>
        <w:t>Abstract</w:t>
      </w:r>
    </w:p>
    <w:p w:rsidR="003B5357" w:rsidRDefault="003B5357" w:rsidP="003B5357">
      <w:pPr>
        <w:pStyle w:val="NormalWeb"/>
        <w:rPr>
          <w:rFonts w:asciiTheme="minorHAnsi" w:hAnsiTheme="minorHAnsi" w:cstheme="minorHAnsi"/>
          <w:sz w:val="28"/>
          <w:szCs w:val="28"/>
          <w:lang w:val="en-US"/>
        </w:rPr>
      </w:pPr>
      <w:r w:rsidRPr="003B5357">
        <w:rPr>
          <w:rStyle w:val="lev"/>
          <w:rFonts w:asciiTheme="minorHAnsi" w:hAnsiTheme="minorHAnsi" w:cstheme="minorHAnsi"/>
          <w:sz w:val="28"/>
          <w:szCs w:val="28"/>
          <w:lang w:val="en-US"/>
        </w:rPr>
        <w:t>Background:</w:t>
      </w:r>
      <w:r w:rsidRPr="003B5357">
        <w:rPr>
          <w:rFonts w:asciiTheme="minorHAnsi" w:hAnsiTheme="minorHAnsi" w:cstheme="minorHAnsi"/>
          <w:sz w:val="28"/>
          <w:szCs w:val="28"/>
          <w:lang w:val="en-US"/>
        </w:rPr>
        <w:t xml:space="preserve"> Osteogenesis imperfecta (OI) is a rare genetic disorder of connective tissue, primarily caused by mutations in the </w:t>
      </w:r>
      <w:r w:rsidRPr="003B5357">
        <w:rPr>
          <w:rStyle w:val="Accentuation"/>
          <w:rFonts w:asciiTheme="minorHAnsi" w:hAnsiTheme="minorHAnsi" w:cstheme="minorHAnsi"/>
          <w:sz w:val="28"/>
          <w:szCs w:val="28"/>
          <w:lang w:val="en-US"/>
        </w:rPr>
        <w:t>COL1A1</w:t>
      </w:r>
      <w:r w:rsidRPr="003B5357">
        <w:rPr>
          <w:rFonts w:asciiTheme="minorHAnsi" w:hAnsiTheme="minorHAnsi" w:cstheme="minorHAnsi"/>
          <w:sz w:val="28"/>
          <w:szCs w:val="28"/>
          <w:lang w:val="en-US"/>
        </w:rPr>
        <w:t xml:space="preserve"> and </w:t>
      </w:r>
      <w:r w:rsidRPr="003B5357">
        <w:rPr>
          <w:rStyle w:val="Accentuation"/>
          <w:rFonts w:asciiTheme="minorHAnsi" w:hAnsiTheme="minorHAnsi" w:cstheme="minorHAnsi"/>
          <w:sz w:val="28"/>
          <w:szCs w:val="28"/>
          <w:lang w:val="en-US"/>
        </w:rPr>
        <w:t>COL1A2</w:t>
      </w:r>
      <w:r w:rsidRPr="003B5357">
        <w:rPr>
          <w:rFonts w:asciiTheme="minorHAnsi" w:hAnsiTheme="minorHAnsi" w:cstheme="minorHAnsi"/>
          <w:sz w:val="28"/>
          <w:szCs w:val="28"/>
          <w:lang w:val="en-US"/>
        </w:rPr>
        <w:t xml:space="preserve"> genes encoding type I collagen.</w:t>
      </w:r>
    </w:p>
    <w:p w:rsidR="003B5357" w:rsidRDefault="003B5357" w:rsidP="003B5357">
      <w:pPr>
        <w:pStyle w:val="NormalWeb"/>
        <w:rPr>
          <w:rFonts w:asciiTheme="minorHAnsi" w:hAnsiTheme="minorHAnsi" w:cstheme="minorHAnsi"/>
          <w:sz w:val="28"/>
          <w:szCs w:val="28"/>
          <w:lang w:val="en-US"/>
        </w:rPr>
      </w:pPr>
      <w:r w:rsidRPr="003B5357">
        <w:rPr>
          <w:rFonts w:asciiTheme="minorHAnsi" w:hAnsiTheme="minorHAnsi" w:cstheme="minorHAnsi"/>
          <w:sz w:val="28"/>
          <w:szCs w:val="28"/>
          <w:lang w:val="en-US"/>
        </w:rPr>
        <w:br/>
      </w:r>
      <w:r w:rsidRPr="003B5357">
        <w:rPr>
          <w:rStyle w:val="lev"/>
          <w:rFonts w:asciiTheme="minorHAnsi" w:hAnsiTheme="minorHAnsi" w:cstheme="minorHAnsi"/>
          <w:sz w:val="28"/>
          <w:szCs w:val="28"/>
          <w:lang w:val="en-US"/>
        </w:rPr>
        <w:t>Case presentation:</w:t>
      </w:r>
      <w:r w:rsidRPr="003B5357">
        <w:rPr>
          <w:rFonts w:asciiTheme="minorHAnsi" w:hAnsiTheme="minorHAnsi" w:cstheme="minorHAnsi"/>
          <w:sz w:val="28"/>
          <w:szCs w:val="28"/>
          <w:lang w:val="en-US"/>
        </w:rPr>
        <w:t xml:space="preserve"> We describe a male neonate diagnosed with OI after presenting with multiple antenatal and postnatal fractures. Prenatal ultrasound revealed intrauterine growth restriction and long-bone deformities. Postnatal clinical and radiological evaluations demonstrated diffuse osteopenia and multiple diaphyseal fractures. Genetic analysis identified a heterozygous </w:t>
      </w:r>
      <w:r w:rsidRPr="003B5357">
        <w:rPr>
          <w:rStyle w:val="Accentuation"/>
          <w:rFonts w:asciiTheme="minorHAnsi" w:hAnsiTheme="minorHAnsi" w:cstheme="minorHAnsi"/>
          <w:sz w:val="28"/>
          <w:szCs w:val="28"/>
          <w:lang w:val="en-US"/>
        </w:rPr>
        <w:t>COL1A2</w:t>
      </w:r>
      <w:r w:rsidRPr="003B5357">
        <w:rPr>
          <w:rFonts w:asciiTheme="minorHAnsi" w:hAnsiTheme="minorHAnsi" w:cstheme="minorHAnsi"/>
          <w:sz w:val="28"/>
          <w:szCs w:val="28"/>
          <w:lang w:val="en-US"/>
        </w:rPr>
        <w:t xml:space="preserve"> (</w:t>
      </w:r>
      <w:proofErr w:type="gramStart"/>
      <w:r w:rsidRPr="003B5357">
        <w:rPr>
          <w:rFonts w:asciiTheme="minorHAnsi" w:hAnsiTheme="minorHAnsi" w:cstheme="minorHAnsi"/>
          <w:sz w:val="28"/>
          <w:szCs w:val="28"/>
          <w:lang w:val="en-US"/>
        </w:rPr>
        <w:t>p.Gly</w:t>
      </w:r>
      <w:proofErr w:type="gramEnd"/>
      <w:r w:rsidRPr="003B5357">
        <w:rPr>
          <w:rFonts w:asciiTheme="minorHAnsi" w:hAnsiTheme="minorHAnsi" w:cstheme="minorHAnsi"/>
          <w:sz w:val="28"/>
          <w:szCs w:val="28"/>
          <w:lang w:val="en-US"/>
        </w:rPr>
        <w:t>358Ser) mutation consistent with type II OI. The patient was treated with intravenous zoledronic acid and showed good tolerance.</w:t>
      </w:r>
    </w:p>
    <w:p w:rsidR="003B5357" w:rsidRPr="003B5357" w:rsidRDefault="003B5357" w:rsidP="003B5357">
      <w:pPr>
        <w:pStyle w:val="NormalWeb"/>
        <w:rPr>
          <w:rFonts w:asciiTheme="minorHAnsi" w:hAnsiTheme="minorHAnsi" w:cstheme="minorHAnsi"/>
          <w:sz w:val="28"/>
          <w:szCs w:val="28"/>
          <w:lang w:val="en-US"/>
        </w:rPr>
      </w:pPr>
      <w:r w:rsidRPr="003B5357">
        <w:rPr>
          <w:rFonts w:asciiTheme="minorHAnsi" w:hAnsiTheme="minorHAnsi" w:cstheme="minorHAnsi"/>
          <w:sz w:val="28"/>
          <w:szCs w:val="28"/>
          <w:lang w:val="en-US"/>
        </w:rPr>
        <w:br/>
      </w:r>
      <w:r w:rsidRPr="003B5357">
        <w:rPr>
          <w:rStyle w:val="lev"/>
          <w:rFonts w:asciiTheme="minorHAnsi" w:hAnsiTheme="minorHAnsi" w:cstheme="minorHAnsi"/>
          <w:sz w:val="28"/>
          <w:szCs w:val="28"/>
          <w:lang w:val="en-US"/>
        </w:rPr>
        <w:t>Conclusion:</w:t>
      </w:r>
      <w:r w:rsidRPr="003B5357">
        <w:rPr>
          <w:rFonts w:asciiTheme="minorHAnsi" w:hAnsiTheme="minorHAnsi" w:cstheme="minorHAnsi"/>
          <w:sz w:val="28"/>
          <w:szCs w:val="28"/>
          <w:lang w:val="en-US"/>
        </w:rPr>
        <w:t xml:space="preserve"> This case highlights the diagnostic and therapeutic challenges associated with severe neonatal OI. Early recognition, genetic confirmation, and multidisciplinary management are essential to improving survival and quality of life. Novel approaches—including anti-sclerostin antibodies, TGF-</w:t>
      </w:r>
      <w:r w:rsidRPr="003B5357">
        <w:rPr>
          <w:rFonts w:asciiTheme="minorHAnsi" w:hAnsiTheme="minorHAnsi" w:cstheme="minorHAnsi"/>
          <w:sz w:val="28"/>
          <w:szCs w:val="28"/>
        </w:rPr>
        <w:t>β</w:t>
      </w:r>
      <w:r w:rsidRPr="003B5357">
        <w:rPr>
          <w:rFonts w:asciiTheme="minorHAnsi" w:hAnsiTheme="minorHAnsi" w:cstheme="minorHAnsi"/>
          <w:sz w:val="28"/>
          <w:szCs w:val="28"/>
          <w:lang w:val="en-US"/>
        </w:rPr>
        <w:t xml:space="preserve"> inhibitors, and emerging gene-editing therapies—offer promising perspectives for the future management of this condition.</w:t>
      </w:r>
    </w:p>
    <w:p w:rsidR="003B5357" w:rsidRDefault="003B5357" w:rsidP="003B5357">
      <w:pPr>
        <w:pStyle w:val="NormalWeb"/>
        <w:rPr>
          <w:rFonts w:asciiTheme="minorHAnsi" w:hAnsiTheme="minorHAnsi" w:cstheme="minorHAnsi"/>
          <w:sz w:val="28"/>
          <w:szCs w:val="28"/>
          <w:lang w:val="en-US"/>
        </w:rPr>
      </w:pPr>
      <w:r w:rsidRPr="003B5357">
        <w:rPr>
          <w:rStyle w:val="lev"/>
          <w:rFonts w:asciiTheme="minorHAnsi" w:hAnsiTheme="minorHAnsi" w:cstheme="minorHAnsi"/>
          <w:sz w:val="28"/>
          <w:szCs w:val="28"/>
          <w:lang w:val="en-US"/>
        </w:rPr>
        <w:t>Keywords:</w:t>
      </w:r>
      <w:r w:rsidRPr="003B5357">
        <w:rPr>
          <w:rFonts w:asciiTheme="minorHAnsi" w:hAnsiTheme="minorHAnsi" w:cstheme="minorHAnsi"/>
          <w:sz w:val="28"/>
          <w:szCs w:val="28"/>
          <w:lang w:val="en-US"/>
        </w:rPr>
        <w:t xml:space="preserve"> osteogenesis imperfecta, antenatal fractures, bisphosphonates, zoledronic acid, neonatal bone fragility</w:t>
      </w:r>
    </w:p>
    <w:p w:rsidR="003B5357" w:rsidRDefault="003B5357" w:rsidP="003B5357">
      <w:pPr>
        <w:pStyle w:val="NormalWeb"/>
        <w:rPr>
          <w:rFonts w:asciiTheme="minorHAnsi" w:hAnsiTheme="minorHAnsi" w:cstheme="minorHAnsi"/>
          <w:sz w:val="28"/>
          <w:szCs w:val="28"/>
          <w:lang w:val="en-US"/>
        </w:rPr>
      </w:pPr>
    </w:p>
    <w:p w:rsidR="003B5357" w:rsidRDefault="003B5357" w:rsidP="003B5357">
      <w:pPr>
        <w:pStyle w:val="NormalWeb"/>
        <w:rPr>
          <w:rFonts w:asciiTheme="minorHAnsi" w:hAnsiTheme="minorHAnsi" w:cstheme="minorHAnsi"/>
          <w:sz w:val="28"/>
          <w:szCs w:val="28"/>
          <w:lang w:val="en-US"/>
        </w:rPr>
      </w:pPr>
    </w:p>
    <w:p w:rsidR="003B5357" w:rsidRDefault="003B5357" w:rsidP="003B5357">
      <w:pPr>
        <w:pStyle w:val="NormalWeb"/>
        <w:rPr>
          <w:rFonts w:asciiTheme="minorHAnsi" w:hAnsiTheme="minorHAnsi" w:cstheme="minorHAnsi"/>
          <w:sz w:val="28"/>
          <w:szCs w:val="28"/>
          <w:lang w:val="en-US"/>
        </w:rPr>
      </w:pPr>
    </w:p>
    <w:p w:rsidR="003B5357" w:rsidRPr="003B5357" w:rsidRDefault="003B5357" w:rsidP="003B5357">
      <w:pPr>
        <w:pStyle w:val="NormalWeb"/>
        <w:rPr>
          <w:rFonts w:asciiTheme="minorHAnsi" w:hAnsiTheme="minorHAnsi" w:cstheme="minorHAnsi"/>
          <w:sz w:val="28"/>
          <w:szCs w:val="28"/>
          <w:lang w:val="en-US"/>
        </w:rPr>
      </w:pPr>
    </w:p>
    <w:p w:rsidR="00526091" w:rsidRPr="003B5357" w:rsidRDefault="00526091" w:rsidP="00526091">
      <w:pPr>
        <w:spacing w:beforeAutospacing="1" w:afterAutospacing="1"/>
        <w:rPr>
          <w:rFonts w:ascii="Arial" w:hAnsi="Arial" w:cs="Arial"/>
          <w:color w:val="000000"/>
          <w:sz w:val="32"/>
          <w:szCs w:val="32"/>
          <w:lang w:val="en-US"/>
        </w:rPr>
      </w:pPr>
      <w:r w:rsidRPr="003B5357">
        <w:rPr>
          <w:rFonts w:ascii="Arial" w:hAnsi="Arial" w:cs="Arial"/>
          <w:b/>
          <w:bCs/>
          <w:color w:val="000000"/>
          <w:sz w:val="32"/>
          <w:szCs w:val="32"/>
          <w:bdr w:val="none" w:sz="0" w:space="0" w:color="auto" w:frame="1"/>
          <w:lang w:val="en-US"/>
        </w:rPr>
        <w:lastRenderedPageBreak/>
        <w:t>Introduction</w:t>
      </w:r>
    </w:p>
    <w:p w:rsidR="003B5357" w:rsidRPr="003B5357" w:rsidRDefault="003B5357" w:rsidP="003B5357">
      <w:pPr>
        <w:pStyle w:val="NormalWeb"/>
        <w:rPr>
          <w:sz w:val="28"/>
          <w:szCs w:val="28"/>
          <w:lang w:val="en-US"/>
        </w:rPr>
      </w:pPr>
      <w:r w:rsidRPr="003B5357">
        <w:rPr>
          <w:sz w:val="28"/>
          <w:szCs w:val="28"/>
          <w:lang w:val="en-US"/>
        </w:rPr>
        <w:t xml:space="preserve">Osteogenesis imperfecta (OI) is a rare heritable connective tissue disorder characterized by defective synthesis of type I collagen, the major structural protein of bone. The condition results primarily from mutations in </w:t>
      </w:r>
      <w:r w:rsidRPr="003B5357">
        <w:rPr>
          <w:rStyle w:val="Accentuation"/>
          <w:sz w:val="28"/>
          <w:szCs w:val="28"/>
          <w:lang w:val="en-US"/>
        </w:rPr>
        <w:t>COL1A1</w:t>
      </w:r>
      <w:r w:rsidRPr="003B5357">
        <w:rPr>
          <w:sz w:val="28"/>
          <w:szCs w:val="28"/>
          <w:lang w:val="en-US"/>
        </w:rPr>
        <w:t xml:space="preserve"> and </w:t>
      </w:r>
      <w:r w:rsidRPr="003B5357">
        <w:rPr>
          <w:rStyle w:val="Accentuation"/>
          <w:sz w:val="28"/>
          <w:szCs w:val="28"/>
          <w:lang w:val="en-US"/>
        </w:rPr>
        <w:t>COL1A2</w:t>
      </w:r>
      <w:r w:rsidRPr="003B5357">
        <w:rPr>
          <w:sz w:val="28"/>
          <w:szCs w:val="28"/>
          <w:lang w:val="en-US"/>
        </w:rPr>
        <w:t xml:space="preserve">, which encode the </w:t>
      </w:r>
      <w:r w:rsidRPr="003B5357">
        <w:rPr>
          <w:sz w:val="28"/>
          <w:szCs w:val="28"/>
        </w:rPr>
        <w:t>α</w:t>
      </w:r>
      <w:r w:rsidRPr="003B5357">
        <w:rPr>
          <w:sz w:val="28"/>
          <w:szCs w:val="28"/>
          <w:lang w:val="en-US"/>
        </w:rPr>
        <w:t xml:space="preserve">1 and </w:t>
      </w:r>
      <w:r w:rsidRPr="003B5357">
        <w:rPr>
          <w:sz w:val="28"/>
          <w:szCs w:val="28"/>
        </w:rPr>
        <w:t>α</w:t>
      </w:r>
      <w:r w:rsidRPr="003B5357">
        <w:rPr>
          <w:sz w:val="28"/>
          <w:szCs w:val="28"/>
          <w:lang w:val="en-US"/>
        </w:rPr>
        <w:t>2 chains of type I collagen [1]. The estimated incidence of OI ranges from 1 in 15,000 to 20,000 live births [2].</w:t>
      </w:r>
    </w:p>
    <w:p w:rsidR="003B5357" w:rsidRPr="003B5357" w:rsidRDefault="003B5357" w:rsidP="003B5357">
      <w:pPr>
        <w:pStyle w:val="NormalWeb"/>
        <w:rPr>
          <w:sz w:val="28"/>
          <w:szCs w:val="28"/>
          <w:lang w:val="en-US"/>
        </w:rPr>
      </w:pPr>
      <w:r w:rsidRPr="003B5357">
        <w:rPr>
          <w:sz w:val="28"/>
          <w:szCs w:val="28"/>
          <w:lang w:val="en-US"/>
        </w:rPr>
        <w:t xml:space="preserve">Clinically, OI manifests with bone fragility, recurrent fractures, deformities, and growth retardation. Because type I collagen is widely expressed, extra-skeletal features may include </w:t>
      </w:r>
      <w:proofErr w:type="spellStart"/>
      <w:r w:rsidRPr="003B5357">
        <w:rPr>
          <w:sz w:val="28"/>
          <w:szCs w:val="28"/>
          <w:lang w:val="en-US"/>
        </w:rPr>
        <w:t>dentinogenesis</w:t>
      </w:r>
      <w:proofErr w:type="spellEnd"/>
      <w:r w:rsidRPr="003B5357">
        <w:rPr>
          <w:sz w:val="28"/>
          <w:szCs w:val="28"/>
          <w:lang w:val="en-US"/>
        </w:rPr>
        <w:t xml:space="preserve"> imperfecta, blue sclerae, hearing loss, respiratory impairment, and valvular heart disease [3].</w:t>
      </w:r>
    </w:p>
    <w:p w:rsidR="00CA2682" w:rsidRPr="003B5357" w:rsidRDefault="003B5357" w:rsidP="003B5357">
      <w:pPr>
        <w:pStyle w:val="NormalWeb"/>
        <w:rPr>
          <w:sz w:val="28"/>
          <w:szCs w:val="28"/>
          <w:lang w:val="en-US"/>
        </w:rPr>
      </w:pPr>
      <w:r w:rsidRPr="003B5357">
        <w:rPr>
          <w:sz w:val="28"/>
          <w:szCs w:val="28"/>
          <w:lang w:val="en-US"/>
        </w:rPr>
        <w:t>The clinical spectrum ranges from mild forms compatible with normal life expectancy to perinatally lethal phenotypes. Antenatal detection of limb shortening or multiple fractures should raise suspicion of severe OI, warranting genetic confirmation and early multidisciplinary managemen</w:t>
      </w:r>
      <w:r>
        <w:rPr>
          <w:sz w:val="28"/>
          <w:szCs w:val="28"/>
          <w:lang w:val="en-US"/>
        </w:rPr>
        <w:t>t</w:t>
      </w:r>
    </w:p>
    <w:p w:rsidR="00CA2682" w:rsidRPr="003A5ADE" w:rsidRDefault="00CA2682" w:rsidP="00E1588B">
      <w:pPr>
        <w:spacing w:before="100" w:beforeAutospacing="1" w:after="100" w:afterAutospacing="1"/>
        <w:jc w:val="both"/>
        <w:rPr>
          <w:rFonts w:ascii="Arial" w:hAnsi="Arial" w:cs="Arial"/>
          <w:color w:val="000000" w:themeColor="text1"/>
          <w:sz w:val="23"/>
          <w:szCs w:val="23"/>
          <w:lang w:val="en-US"/>
        </w:rPr>
      </w:pPr>
    </w:p>
    <w:p w:rsidR="003A5ADE" w:rsidRPr="003A5ADE" w:rsidRDefault="003A5ADE" w:rsidP="003A5ADE">
      <w:pPr>
        <w:pStyle w:val="Titre3"/>
        <w:rPr>
          <w:color w:val="000000" w:themeColor="text1"/>
          <w:sz w:val="32"/>
          <w:szCs w:val="32"/>
          <w:lang w:val="en-US"/>
        </w:rPr>
      </w:pPr>
      <w:r w:rsidRPr="003A5ADE">
        <w:rPr>
          <w:rStyle w:val="lev"/>
          <w:bCs w:val="0"/>
          <w:color w:val="000000" w:themeColor="text1"/>
          <w:sz w:val="32"/>
          <w:szCs w:val="32"/>
          <w:lang w:val="en-US"/>
        </w:rPr>
        <w:t>Case Presentation</w:t>
      </w:r>
    </w:p>
    <w:p w:rsidR="003A5ADE" w:rsidRPr="003A5ADE" w:rsidRDefault="003A5ADE" w:rsidP="003A5ADE">
      <w:pPr>
        <w:pStyle w:val="NormalWeb"/>
        <w:rPr>
          <w:sz w:val="28"/>
          <w:szCs w:val="28"/>
          <w:lang w:val="en-US"/>
        </w:rPr>
      </w:pPr>
      <w:r w:rsidRPr="003A5ADE">
        <w:rPr>
          <w:sz w:val="28"/>
          <w:szCs w:val="28"/>
          <w:lang w:val="en-US"/>
        </w:rPr>
        <w:t xml:space="preserve">A male neonate was delivered at term (39 weeks’ gestation) with Apgar scores of 9/10/10. Birth weight was 2550 g (1.5th percentile), length 42 cm (&lt;1st percentile), and head circumference 34 cm (29th percentile). Amniotic fluid was clear, and there was no evidence of maternal infection. The 32-year-old mother (G7P4) had a complex obstetric history: two healthy children (G1–G2), one intrauterine fetal death at seven months due to </w:t>
      </w:r>
      <w:proofErr w:type="spellStart"/>
      <w:r w:rsidRPr="003A5ADE">
        <w:rPr>
          <w:sz w:val="28"/>
          <w:szCs w:val="28"/>
          <w:lang w:val="en-US"/>
        </w:rPr>
        <w:t>anhydramnios</w:t>
      </w:r>
      <w:proofErr w:type="spellEnd"/>
      <w:r w:rsidRPr="003A5ADE">
        <w:rPr>
          <w:sz w:val="28"/>
          <w:szCs w:val="28"/>
          <w:lang w:val="en-US"/>
        </w:rPr>
        <w:t xml:space="preserve"> (G3), one term delivery complicated by gestational diabetes (G4), and two spontaneous miscarriages (G5–G6).</w:t>
      </w:r>
    </w:p>
    <w:p w:rsidR="003A5ADE" w:rsidRPr="003A5ADE" w:rsidRDefault="003A5ADE" w:rsidP="003A5ADE">
      <w:pPr>
        <w:pStyle w:val="NormalWeb"/>
        <w:rPr>
          <w:sz w:val="28"/>
          <w:szCs w:val="28"/>
          <w:lang w:val="en-US"/>
        </w:rPr>
      </w:pPr>
      <w:r w:rsidRPr="003A5ADE">
        <w:rPr>
          <w:sz w:val="28"/>
          <w:szCs w:val="28"/>
          <w:lang w:val="en-US"/>
        </w:rPr>
        <w:t>The current pregnancy was complicated by intrauterine growth restriction and lower limb deformities, with femoral length at the 3rd percentile at 27 weeks and overall fetal growth at the 1st percentile by 37 weeks (Figure 1). The mother had a history of postpartum stroke after her third delivery, previously treated with anticoagulants. There was no consanguinity.</w:t>
      </w:r>
    </w:p>
    <w:p w:rsidR="003A5ADE" w:rsidRPr="003A5ADE" w:rsidRDefault="003A5ADE" w:rsidP="003A5ADE">
      <w:pPr>
        <w:pStyle w:val="NormalWeb"/>
        <w:rPr>
          <w:lang w:val="en-US"/>
        </w:rPr>
      </w:pPr>
    </w:p>
    <w:p w:rsidR="003A5ADE" w:rsidRPr="003A5ADE" w:rsidRDefault="003A5ADE" w:rsidP="003A5ADE">
      <w:pPr>
        <w:pStyle w:val="NormalWeb"/>
        <w:rPr>
          <w:lang w:val="en-US"/>
        </w:rPr>
      </w:pPr>
    </w:p>
    <w:p w:rsidR="003A5ADE" w:rsidRPr="003A5ADE" w:rsidRDefault="003A5ADE" w:rsidP="003A5ADE">
      <w:pPr>
        <w:pStyle w:val="NormalWeb"/>
        <w:rPr>
          <w:lang w:val="en-US"/>
        </w:rPr>
      </w:pPr>
    </w:p>
    <w:p w:rsidR="003A5ADE" w:rsidRPr="003A5ADE" w:rsidRDefault="003A5ADE" w:rsidP="003A5ADE">
      <w:pPr>
        <w:pStyle w:val="NormalWeb"/>
        <w:rPr>
          <w:lang w:val="en-US"/>
        </w:rPr>
      </w:pPr>
    </w:p>
    <w:p w:rsidR="003A5ADE" w:rsidRPr="003A5ADE" w:rsidRDefault="003A5ADE" w:rsidP="003A5ADE">
      <w:pPr>
        <w:pStyle w:val="NormalWeb"/>
        <w:rPr>
          <w:lang w:val="en-US"/>
        </w:rPr>
      </w:pPr>
    </w:p>
    <w:p w:rsidR="003A5ADE" w:rsidRPr="003A5ADE" w:rsidRDefault="003A5ADE" w:rsidP="003A5ADE">
      <w:pPr>
        <w:pStyle w:val="NormalWeb"/>
        <w:rPr>
          <w:lang w:val="en-US"/>
        </w:rPr>
      </w:pPr>
      <w:r>
        <w:rPr>
          <w:noProof/>
        </w:rPr>
        <w:drawing>
          <wp:anchor distT="0" distB="0" distL="114300" distR="114300" simplePos="0" relativeHeight="251672576" behindDoc="0" locked="0" layoutInCell="1" allowOverlap="1" wp14:anchorId="6CFB7385" wp14:editId="058BA749">
            <wp:simplePos x="0" y="0"/>
            <wp:positionH relativeFrom="column">
              <wp:posOffset>2717165</wp:posOffset>
            </wp:positionH>
            <wp:positionV relativeFrom="paragraph">
              <wp:posOffset>344805</wp:posOffset>
            </wp:positionV>
            <wp:extent cx="3056890" cy="2581910"/>
            <wp:effectExtent l="0" t="0" r="3810" b="0"/>
            <wp:wrapThrough wrapText="bothSides">
              <wp:wrapPolygon edited="0">
                <wp:start x="0" y="0"/>
                <wp:lineTo x="0" y="21462"/>
                <wp:lineTo x="21537" y="21462"/>
                <wp:lineTo x="21537" y="0"/>
                <wp:lineTo x="0" y="0"/>
              </wp:wrapPolygon>
            </wp:wrapThrough>
            <wp:docPr id="5" name="Image 1">
              <a:extLst xmlns:a="http://schemas.openxmlformats.org/drawingml/2006/main">
                <a:ext uri="{FF2B5EF4-FFF2-40B4-BE49-F238E27FC236}">
                  <a16:creationId xmlns:a16="http://schemas.microsoft.com/office/drawing/2014/main" id="{25C63137-53F6-5F92-04B9-2545F0FC241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 1">
                      <a:extLst>
                        <a:ext uri="{FF2B5EF4-FFF2-40B4-BE49-F238E27FC236}">
                          <a16:creationId xmlns:a16="http://schemas.microsoft.com/office/drawing/2014/main" id="{25C63137-53F6-5F92-04B9-2545F0FC2412}"/>
                        </a:ext>
                      </a:extLst>
                    </pic:cNvPr>
                    <pic:cNvPicPr>
                      <a:picLocks noChangeAspect="1"/>
                    </pic:cNvPicPr>
                  </pic:nvPicPr>
                  <pic:blipFill rotWithShape="1">
                    <a:blip r:embed="rId7">
                      <a:extLst>
                        <a:ext uri="{28A0092B-C50C-407E-A947-70E740481C1C}">
                          <a14:useLocalDpi xmlns:a14="http://schemas.microsoft.com/office/drawing/2010/main" val="0"/>
                        </a:ext>
                      </a:extLst>
                    </a:blip>
                    <a:srcRect t="11647" r="14426" b="1743"/>
                    <a:stretch/>
                  </pic:blipFill>
                  <pic:spPr>
                    <a:xfrm>
                      <a:off x="0" y="0"/>
                      <a:ext cx="3056890" cy="2581910"/>
                    </a:xfrm>
                    <a:prstGeom prst="rect">
                      <a:avLst/>
                    </a:prstGeom>
                  </pic:spPr>
                </pic:pic>
              </a:graphicData>
            </a:graphic>
            <wp14:sizeRelH relativeFrom="page">
              <wp14:pctWidth>0</wp14:pctWidth>
            </wp14:sizeRelH>
            <wp14:sizeRelV relativeFrom="page">
              <wp14:pctHeight>0</wp14:pctHeight>
            </wp14:sizeRelV>
          </wp:anchor>
        </w:drawing>
      </w:r>
    </w:p>
    <w:p w:rsidR="003A5ADE" w:rsidRDefault="003A5ADE" w:rsidP="003A5ADE">
      <w:pPr>
        <w:pStyle w:val="NormalWeb"/>
        <w:rPr>
          <w:lang w:val="en-US"/>
        </w:rPr>
      </w:pPr>
      <w:r>
        <w:rPr>
          <w:noProof/>
        </w:rPr>
        <w:drawing>
          <wp:anchor distT="0" distB="0" distL="114300" distR="114300" simplePos="0" relativeHeight="251670528" behindDoc="0" locked="0" layoutInCell="1" allowOverlap="1" wp14:anchorId="6E20C157" wp14:editId="79A61665">
            <wp:simplePos x="0" y="0"/>
            <wp:positionH relativeFrom="column">
              <wp:posOffset>-355600</wp:posOffset>
            </wp:positionH>
            <wp:positionV relativeFrom="paragraph">
              <wp:posOffset>0</wp:posOffset>
            </wp:positionV>
            <wp:extent cx="2801620" cy="2581910"/>
            <wp:effectExtent l="0" t="0" r="5080" b="0"/>
            <wp:wrapThrough wrapText="bothSides">
              <wp:wrapPolygon edited="0">
                <wp:start x="0" y="0"/>
                <wp:lineTo x="0" y="21462"/>
                <wp:lineTo x="21541" y="21462"/>
                <wp:lineTo x="21541" y="0"/>
                <wp:lineTo x="0" y="0"/>
              </wp:wrapPolygon>
            </wp:wrapThrough>
            <wp:docPr id="4" name="Image 1">
              <a:extLst xmlns:a="http://schemas.openxmlformats.org/drawingml/2006/main">
                <a:ext uri="{FF2B5EF4-FFF2-40B4-BE49-F238E27FC236}">
                  <a16:creationId xmlns:a16="http://schemas.microsoft.com/office/drawing/2014/main" id="{F6C69DD5-C01B-7E41-9926-FDAE02BA8B3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 1">
                      <a:extLst>
                        <a:ext uri="{FF2B5EF4-FFF2-40B4-BE49-F238E27FC236}">
                          <a16:creationId xmlns:a16="http://schemas.microsoft.com/office/drawing/2014/main" id="{F6C69DD5-C01B-7E41-9926-FDAE02BA8B32}"/>
                        </a:ext>
                      </a:extLst>
                    </pic:cNvPr>
                    <pic:cNvPicPr>
                      <a:picLocks noChangeAspect="1"/>
                    </pic:cNvPicPr>
                  </pic:nvPicPr>
                  <pic:blipFill rotWithShape="1">
                    <a:blip r:embed="rId8" cstate="print">
                      <a:extLst>
                        <a:ext uri="{28A0092B-C50C-407E-A947-70E740481C1C}">
                          <a14:useLocalDpi xmlns:a14="http://schemas.microsoft.com/office/drawing/2010/main" val="0"/>
                        </a:ext>
                      </a:extLst>
                    </a:blip>
                    <a:srcRect l="-691" t="4168" r="10664" b="12859"/>
                    <a:stretch/>
                  </pic:blipFill>
                  <pic:spPr>
                    <a:xfrm>
                      <a:off x="0" y="0"/>
                      <a:ext cx="2801620" cy="2581910"/>
                    </a:xfrm>
                    <a:prstGeom prst="rect">
                      <a:avLst/>
                    </a:prstGeom>
                  </pic:spPr>
                </pic:pic>
              </a:graphicData>
            </a:graphic>
            <wp14:sizeRelH relativeFrom="page">
              <wp14:pctWidth>0</wp14:pctWidth>
            </wp14:sizeRelH>
            <wp14:sizeRelV relativeFrom="page">
              <wp14:pctHeight>0</wp14:pctHeight>
            </wp14:sizeRelV>
          </wp:anchor>
        </w:drawing>
      </w:r>
    </w:p>
    <w:p w:rsidR="003A5ADE" w:rsidRPr="003A5ADE" w:rsidRDefault="003A5ADE" w:rsidP="003A5ADE">
      <w:pPr>
        <w:pStyle w:val="NormalWeb"/>
        <w:rPr>
          <w:i/>
          <w:sz w:val="28"/>
          <w:szCs w:val="28"/>
          <w:u w:val="single"/>
          <w:lang w:val="en-US"/>
        </w:rPr>
      </w:pPr>
      <w:r w:rsidRPr="003A5ADE">
        <w:rPr>
          <w:rStyle w:val="lev"/>
          <w:i/>
          <w:sz w:val="28"/>
          <w:szCs w:val="28"/>
          <w:u w:val="single"/>
          <w:lang w:val="en-US"/>
        </w:rPr>
        <w:t>Figure 1.</w:t>
      </w:r>
      <w:r w:rsidRPr="003A5ADE">
        <w:rPr>
          <w:i/>
          <w:sz w:val="28"/>
          <w:szCs w:val="28"/>
          <w:u w:val="single"/>
          <w:lang w:val="en-US"/>
        </w:rPr>
        <w:t xml:space="preserve"> Prenatal ultrasound showing reduced femoral length and curved lower limbs.</w:t>
      </w:r>
    </w:p>
    <w:p w:rsidR="003A5ADE" w:rsidRPr="003A5ADE" w:rsidRDefault="003A5ADE" w:rsidP="003A5ADE">
      <w:pPr>
        <w:pStyle w:val="NormalWeb"/>
        <w:rPr>
          <w:sz w:val="28"/>
          <w:szCs w:val="28"/>
          <w:lang w:val="en-US"/>
        </w:rPr>
      </w:pPr>
      <w:r>
        <w:rPr>
          <w:noProof/>
        </w:rPr>
        <w:drawing>
          <wp:anchor distT="0" distB="0" distL="114300" distR="114300" simplePos="0" relativeHeight="251678720" behindDoc="1" locked="0" layoutInCell="1" allowOverlap="1" wp14:anchorId="0432B193" wp14:editId="27D30B07">
            <wp:simplePos x="0" y="0"/>
            <wp:positionH relativeFrom="column">
              <wp:posOffset>3882390</wp:posOffset>
            </wp:positionH>
            <wp:positionV relativeFrom="paragraph">
              <wp:posOffset>422275</wp:posOffset>
            </wp:positionV>
            <wp:extent cx="1005205" cy="2779395"/>
            <wp:effectExtent l="1905" t="0" r="0" b="0"/>
            <wp:wrapNone/>
            <wp:docPr id="8" name="Image 1">
              <a:extLst xmlns:a="http://schemas.openxmlformats.org/drawingml/2006/main">
                <a:ext uri="{FF2B5EF4-FFF2-40B4-BE49-F238E27FC236}">
                  <a16:creationId xmlns:a16="http://schemas.microsoft.com/office/drawing/2014/main" id="{EB12EC0A-6740-7C5B-D2F0-9D03934BAA7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 1">
                      <a:extLst>
                        <a:ext uri="{FF2B5EF4-FFF2-40B4-BE49-F238E27FC236}">
                          <a16:creationId xmlns:a16="http://schemas.microsoft.com/office/drawing/2014/main" id="{EB12EC0A-6740-7C5B-D2F0-9D03934BAA7D}"/>
                        </a:ext>
                      </a:extLst>
                    </pic:cNvPr>
                    <pic:cNvPicPr>
                      <a:picLocks noChangeAspect="1"/>
                    </pic:cNvPicPr>
                  </pic:nvPicPr>
                  <pic:blipFill rotWithShape="1">
                    <a:blip r:embed="rId9">
                      <a:extLst>
                        <a:ext uri="{28A0092B-C50C-407E-A947-70E740481C1C}">
                          <a14:useLocalDpi xmlns:a14="http://schemas.microsoft.com/office/drawing/2010/main" val="0"/>
                        </a:ext>
                      </a:extLst>
                    </a:blip>
                    <a:srcRect l="14884" t="7387" b="10169"/>
                    <a:stretch/>
                  </pic:blipFill>
                  <pic:spPr bwMode="auto">
                    <a:xfrm rot="16200000">
                      <a:off x="0" y="0"/>
                      <a:ext cx="1005205" cy="277939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3A5ADE">
        <w:rPr>
          <w:sz w:val="28"/>
          <w:szCs w:val="28"/>
          <w:lang w:val="en-US"/>
        </w:rPr>
        <w:t>At birth, the neonate was peripherally hypotonic but reactive. He exhibited intense pain on limb manipulation, with audible crepitus over the long bones of the left upper and lower extremities. The limbs were flaccid and tender to touch. The skull was soft with widened cranial sutures. Other systemic findings were unremarkable (Figure 2).</w:t>
      </w:r>
    </w:p>
    <w:p w:rsidR="003A5ADE" w:rsidRDefault="003A5ADE" w:rsidP="003A5ADE">
      <w:pPr>
        <w:pStyle w:val="NormalWeb"/>
        <w:rPr>
          <w:rStyle w:val="lev"/>
          <w:lang w:val="en-US"/>
        </w:rPr>
      </w:pPr>
      <w:r>
        <w:rPr>
          <w:noProof/>
        </w:rPr>
        <w:drawing>
          <wp:anchor distT="0" distB="0" distL="114300" distR="114300" simplePos="0" relativeHeight="251674624" behindDoc="1" locked="0" layoutInCell="1" allowOverlap="1" wp14:anchorId="3617D559" wp14:editId="4B608555">
            <wp:simplePos x="0" y="0"/>
            <wp:positionH relativeFrom="column">
              <wp:posOffset>-178435</wp:posOffset>
            </wp:positionH>
            <wp:positionV relativeFrom="paragraph">
              <wp:posOffset>26670</wp:posOffset>
            </wp:positionV>
            <wp:extent cx="2903902" cy="4062095"/>
            <wp:effectExtent l="0" t="0" r="4445" b="1905"/>
            <wp:wrapNone/>
            <wp:docPr id="6" name="Image 1">
              <a:extLst xmlns:a="http://schemas.openxmlformats.org/drawingml/2006/main">
                <a:ext uri="{FF2B5EF4-FFF2-40B4-BE49-F238E27FC236}">
                  <a16:creationId xmlns:a16="http://schemas.microsoft.com/office/drawing/2014/main" id="{AAA52D04-6C43-1702-4616-6C6EEBE0D58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 1">
                      <a:extLst>
                        <a:ext uri="{FF2B5EF4-FFF2-40B4-BE49-F238E27FC236}">
                          <a16:creationId xmlns:a16="http://schemas.microsoft.com/office/drawing/2014/main" id="{AAA52D04-6C43-1702-4616-6C6EEBE0D58A}"/>
                        </a:ext>
                      </a:extLst>
                    </pic:cNvPr>
                    <pic:cNvPicPr>
                      <a:picLocks noChangeAspect="1"/>
                    </pic:cNvPicPr>
                  </pic:nvPicPr>
                  <pic:blipFill rotWithShape="1">
                    <a:blip r:embed="rId10">
                      <a:extLst>
                        <a:ext uri="{28A0092B-C50C-407E-A947-70E740481C1C}">
                          <a14:useLocalDpi xmlns:a14="http://schemas.microsoft.com/office/drawing/2010/main" val="0"/>
                        </a:ext>
                      </a:extLst>
                    </a:blip>
                    <a:srcRect r="-4" b="4609"/>
                    <a:stretch/>
                  </pic:blipFill>
                  <pic:spPr bwMode="auto">
                    <a:xfrm>
                      <a:off x="0" y="0"/>
                      <a:ext cx="2903902" cy="406209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3A5ADE" w:rsidRDefault="003A5ADE" w:rsidP="003A5ADE">
      <w:pPr>
        <w:pStyle w:val="NormalWeb"/>
        <w:rPr>
          <w:rStyle w:val="lev"/>
          <w:lang w:val="en-US"/>
        </w:rPr>
      </w:pPr>
    </w:p>
    <w:p w:rsidR="003A5ADE" w:rsidRDefault="003A5ADE" w:rsidP="003A5ADE">
      <w:pPr>
        <w:pStyle w:val="NormalWeb"/>
        <w:rPr>
          <w:rStyle w:val="lev"/>
          <w:lang w:val="en-US"/>
        </w:rPr>
      </w:pPr>
    </w:p>
    <w:p w:rsidR="003A5ADE" w:rsidRDefault="003A5ADE" w:rsidP="003A5ADE">
      <w:pPr>
        <w:pStyle w:val="NormalWeb"/>
        <w:rPr>
          <w:rStyle w:val="lev"/>
          <w:lang w:val="en-US"/>
        </w:rPr>
      </w:pPr>
      <w:r>
        <w:rPr>
          <w:noProof/>
        </w:rPr>
        <w:drawing>
          <wp:anchor distT="0" distB="0" distL="114300" distR="114300" simplePos="0" relativeHeight="251676672" behindDoc="0" locked="0" layoutInCell="1" allowOverlap="1" wp14:anchorId="68425B35" wp14:editId="54B1FA9C">
            <wp:simplePos x="0" y="0"/>
            <wp:positionH relativeFrom="column">
              <wp:posOffset>2995930</wp:posOffset>
            </wp:positionH>
            <wp:positionV relativeFrom="paragraph">
              <wp:posOffset>134542</wp:posOffset>
            </wp:positionV>
            <wp:extent cx="2779294" cy="2899410"/>
            <wp:effectExtent l="0" t="0" r="2540" b="0"/>
            <wp:wrapNone/>
            <wp:docPr id="7" name="Image 1">
              <a:extLst xmlns:a="http://schemas.openxmlformats.org/drawingml/2006/main">
                <a:ext uri="{FF2B5EF4-FFF2-40B4-BE49-F238E27FC236}">
                  <a16:creationId xmlns:a16="http://schemas.microsoft.com/office/drawing/2014/main" id="{5C9F395D-D7E7-1883-99FE-D28C869D22E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 1">
                      <a:extLst>
                        <a:ext uri="{FF2B5EF4-FFF2-40B4-BE49-F238E27FC236}">
                          <a16:creationId xmlns:a16="http://schemas.microsoft.com/office/drawing/2014/main" id="{5C9F395D-D7E7-1883-99FE-D28C869D22E1}"/>
                        </a:ext>
                      </a:extLst>
                    </pic:cNvPr>
                    <pic:cNvPicPr>
                      <a:picLocks noChangeAspect="1"/>
                    </pic:cNvPicPr>
                  </pic:nvPicPr>
                  <pic:blipFill rotWithShape="1">
                    <a:blip r:embed="rId11">
                      <a:extLst>
                        <a:ext uri="{28A0092B-C50C-407E-A947-70E740481C1C}">
                          <a14:useLocalDpi xmlns:a14="http://schemas.microsoft.com/office/drawing/2010/main" val="0"/>
                        </a:ext>
                      </a:extLst>
                    </a:blip>
                    <a:srcRect l="9594" r="30503" b="5146"/>
                    <a:stretch/>
                  </pic:blipFill>
                  <pic:spPr bwMode="auto">
                    <a:xfrm>
                      <a:off x="0" y="0"/>
                      <a:ext cx="2779294" cy="289941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3A5ADE" w:rsidRDefault="003A5ADE" w:rsidP="003A5ADE">
      <w:pPr>
        <w:pStyle w:val="NormalWeb"/>
        <w:rPr>
          <w:rStyle w:val="lev"/>
          <w:lang w:val="en-US"/>
        </w:rPr>
      </w:pPr>
    </w:p>
    <w:p w:rsidR="003A5ADE" w:rsidRDefault="003A5ADE" w:rsidP="003A5ADE">
      <w:pPr>
        <w:pStyle w:val="NormalWeb"/>
        <w:rPr>
          <w:rStyle w:val="lev"/>
          <w:lang w:val="en-US"/>
        </w:rPr>
      </w:pPr>
    </w:p>
    <w:p w:rsidR="003A5ADE" w:rsidRDefault="003A5ADE" w:rsidP="003A5ADE">
      <w:pPr>
        <w:pStyle w:val="NormalWeb"/>
        <w:rPr>
          <w:rStyle w:val="lev"/>
          <w:lang w:val="en-US"/>
        </w:rPr>
      </w:pPr>
    </w:p>
    <w:p w:rsidR="003A5ADE" w:rsidRDefault="003A5ADE" w:rsidP="003A5ADE">
      <w:pPr>
        <w:pStyle w:val="NormalWeb"/>
        <w:rPr>
          <w:rStyle w:val="lev"/>
          <w:lang w:val="en-US"/>
        </w:rPr>
      </w:pPr>
    </w:p>
    <w:p w:rsidR="003A5ADE" w:rsidRDefault="003A5ADE" w:rsidP="003A5ADE">
      <w:pPr>
        <w:pStyle w:val="NormalWeb"/>
        <w:rPr>
          <w:rStyle w:val="lev"/>
          <w:lang w:val="en-US"/>
        </w:rPr>
      </w:pPr>
    </w:p>
    <w:p w:rsidR="003A5ADE" w:rsidRDefault="003A5ADE" w:rsidP="003A5ADE">
      <w:pPr>
        <w:pStyle w:val="NormalWeb"/>
        <w:rPr>
          <w:rStyle w:val="lev"/>
          <w:lang w:val="en-US"/>
        </w:rPr>
      </w:pPr>
    </w:p>
    <w:p w:rsidR="003A5ADE" w:rsidRDefault="003A5ADE" w:rsidP="003A5ADE">
      <w:pPr>
        <w:pStyle w:val="NormalWeb"/>
        <w:rPr>
          <w:rStyle w:val="lev"/>
          <w:lang w:val="en-US"/>
        </w:rPr>
      </w:pPr>
    </w:p>
    <w:p w:rsidR="003A5ADE" w:rsidRPr="003A5ADE" w:rsidRDefault="003A5ADE" w:rsidP="003A5ADE">
      <w:pPr>
        <w:pStyle w:val="NormalWeb"/>
        <w:rPr>
          <w:i/>
          <w:sz w:val="28"/>
          <w:szCs w:val="28"/>
          <w:lang w:val="en-US"/>
        </w:rPr>
      </w:pPr>
      <w:r w:rsidRPr="003A5ADE">
        <w:rPr>
          <w:rStyle w:val="lev"/>
          <w:i/>
          <w:sz w:val="28"/>
          <w:szCs w:val="28"/>
          <w:lang w:val="en-US"/>
        </w:rPr>
        <w:t>Figure 2.</w:t>
      </w:r>
      <w:r w:rsidRPr="003A5ADE">
        <w:rPr>
          <w:i/>
          <w:sz w:val="28"/>
          <w:szCs w:val="28"/>
          <w:lang w:val="en-US"/>
        </w:rPr>
        <w:t xml:space="preserve"> Phenotypic features: shortened, deformed lower limbs and blue sclerae.</w:t>
      </w:r>
    </w:p>
    <w:p w:rsidR="003A5ADE" w:rsidRDefault="003A5ADE" w:rsidP="003A5ADE">
      <w:pPr>
        <w:pStyle w:val="NormalWeb"/>
        <w:rPr>
          <w:sz w:val="28"/>
          <w:szCs w:val="28"/>
          <w:lang w:val="en-US"/>
        </w:rPr>
      </w:pPr>
      <w:r w:rsidRPr="003A5ADE">
        <w:rPr>
          <w:sz w:val="28"/>
          <w:szCs w:val="28"/>
          <w:lang w:val="en-US"/>
        </w:rPr>
        <w:t xml:space="preserve">Radiographs revealed multiple non-displaced fractures of the upper third of both humeral </w:t>
      </w:r>
      <w:proofErr w:type="spellStart"/>
      <w:r w:rsidRPr="003A5ADE">
        <w:rPr>
          <w:sz w:val="28"/>
          <w:szCs w:val="28"/>
          <w:lang w:val="en-US"/>
        </w:rPr>
        <w:t>diaphyses</w:t>
      </w:r>
      <w:proofErr w:type="spellEnd"/>
      <w:r w:rsidRPr="003A5ADE">
        <w:rPr>
          <w:sz w:val="28"/>
          <w:szCs w:val="28"/>
          <w:lang w:val="en-US"/>
        </w:rPr>
        <w:t xml:space="preserve"> and the mid-third of the femoral shafts (Figure 3). Cranio-cervical CT demonstrated turribrachycephaly (cranial index 130), severe osteopenia with extreme thinning of </w:t>
      </w:r>
      <w:proofErr w:type="spellStart"/>
      <w:r w:rsidRPr="003A5ADE">
        <w:rPr>
          <w:sz w:val="28"/>
          <w:szCs w:val="28"/>
          <w:lang w:val="en-US"/>
        </w:rPr>
        <w:t>calvarial</w:t>
      </w:r>
      <w:proofErr w:type="spellEnd"/>
      <w:r w:rsidRPr="003A5ADE">
        <w:rPr>
          <w:sz w:val="28"/>
          <w:szCs w:val="28"/>
          <w:lang w:val="en-US"/>
        </w:rPr>
        <w:t xml:space="preserve"> bones, widened sutures, and diffuse bone erosions. The odontoid process was poorly visualized, suggesting delayed ossification or partial agenesis. No craniosynostosis or intracranial abnormality was </w:t>
      </w:r>
      <w:proofErr w:type="gramStart"/>
      <w:r w:rsidRPr="003A5ADE">
        <w:rPr>
          <w:sz w:val="28"/>
          <w:szCs w:val="28"/>
          <w:lang w:val="en-US"/>
        </w:rPr>
        <w:t>noted .</w:t>
      </w:r>
      <w:proofErr w:type="gramEnd"/>
      <w:r w:rsidRPr="003A5ADE">
        <w:rPr>
          <w:sz w:val="28"/>
          <w:szCs w:val="28"/>
          <w:lang w:val="en-US"/>
        </w:rPr>
        <w:t xml:space="preserve">  Echocardiography revealed a small membranous ventricular septal defect.</w:t>
      </w:r>
    </w:p>
    <w:p w:rsidR="003A5ADE" w:rsidRDefault="003A5ADE" w:rsidP="003A5ADE">
      <w:pPr>
        <w:pStyle w:val="NormalWeb"/>
        <w:rPr>
          <w:sz w:val="28"/>
          <w:szCs w:val="28"/>
          <w:lang w:val="en-US"/>
        </w:rPr>
      </w:pPr>
      <w:r>
        <w:rPr>
          <w:noProof/>
        </w:rPr>
        <w:drawing>
          <wp:anchor distT="0" distB="0" distL="114300" distR="114300" simplePos="0" relativeHeight="251684864" behindDoc="0" locked="0" layoutInCell="1" allowOverlap="1" wp14:anchorId="78ABD8EC" wp14:editId="73ADBFC2">
            <wp:simplePos x="0" y="0"/>
            <wp:positionH relativeFrom="column">
              <wp:posOffset>4216400</wp:posOffset>
            </wp:positionH>
            <wp:positionV relativeFrom="paragraph">
              <wp:posOffset>469729</wp:posOffset>
            </wp:positionV>
            <wp:extent cx="2103489" cy="2644775"/>
            <wp:effectExtent l="0" t="0" r="5080" b="0"/>
            <wp:wrapNone/>
            <wp:docPr id="1520680888" name="Image 1">
              <a:extLst xmlns:a="http://schemas.openxmlformats.org/drawingml/2006/main">
                <a:ext uri="{FF2B5EF4-FFF2-40B4-BE49-F238E27FC236}">
                  <a16:creationId xmlns:a16="http://schemas.microsoft.com/office/drawing/2014/main" id="{E5FA4C46-71B0-0DC9-ECD4-9C8A0245FE8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 1">
                      <a:extLst>
                        <a:ext uri="{FF2B5EF4-FFF2-40B4-BE49-F238E27FC236}">
                          <a16:creationId xmlns:a16="http://schemas.microsoft.com/office/drawing/2014/main" id="{E5FA4C46-71B0-0DC9-ECD4-9C8A0245FE87}"/>
                        </a:ext>
                      </a:extLst>
                    </pic:cNvPr>
                    <pic:cNvPicPr>
                      <a:picLocks noChangeAspect="1"/>
                    </pic:cNvPicPr>
                  </pic:nvPicPr>
                  <pic:blipFill rotWithShape="1">
                    <a:blip r:embed="rId12" cstate="print">
                      <a:extLst>
                        <a:ext uri="{28A0092B-C50C-407E-A947-70E740481C1C}">
                          <a14:useLocalDpi xmlns:a14="http://schemas.microsoft.com/office/drawing/2010/main" val="0"/>
                        </a:ext>
                      </a:extLst>
                    </a:blip>
                    <a:srcRect t="-1" r="13970" b="-13"/>
                    <a:stretch/>
                  </pic:blipFill>
                  <pic:spPr bwMode="auto">
                    <a:xfrm>
                      <a:off x="0" y="0"/>
                      <a:ext cx="2103489" cy="26447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82816" behindDoc="0" locked="0" layoutInCell="1" allowOverlap="1" wp14:anchorId="687396FF" wp14:editId="3574A7F4">
            <wp:simplePos x="0" y="0"/>
            <wp:positionH relativeFrom="column">
              <wp:posOffset>1968500</wp:posOffset>
            </wp:positionH>
            <wp:positionV relativeFrom="paragraph">
              <wp:posOffset>469265</wp:posOffset>
            </wp:positionV>
            <wp:extent cx="2085975" cy="2644775"/>
            <wp:effectExtent l="0" t="0" r="0" b="0"/>
            <wp:wrapTopAndBottom/>
            <wp:docPr id="1327285196" name="Espace réservé du contenu 4">
              <a:extLst xmlns:a="http://schemas.openxmlformats.org/drawingml/2006/main">
                <a:ext uri="{FF2B5EF4-FFF2-40B4-BE49-F238E27FC236}">
                  <a16:creationId xmlns:a16="http://schemas.microsoft.com/office/drawing/2014/main" id="{7DB54BBB-78BB-CF8F-32D2-079BE83CCF25}"/>
                </a:ext>
              </a:extLst>
            </wp:docPr>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2" name="Espace réservé du contenu 4">
                      <a:extLst>
                        <a:ext uri="{FF2B5EF4-FFF2-40B4-BE49-F238E27FC236}">
                          <a16:creationId xmlns:a16="http://schemas.microsoft.com/office/drawing/2014/main" id="{7DB54BBB-78BB-CF8F-32D2-079BE83CCF25}"/>
                        </a:ext>
                      </a:extLst>
                    </pic:cNvPr>
                    <pic:cNvPicPr>
                      <a:picLocks noGrp="1" noChangeAspect="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085975" cy="2644775"/>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80768" behindDoc="0" locked="0" layoutInCell="1" allowOverlap="1" wp14:anchorId="6DC11BBB" wp14:editId="2451C3C1">
            <wp:simplePos x="0" y="0"/>
            <wp:positionH relativeFrom="column">
              <wp:posOffset>-177800</wp:posOffset>
            </wp:positionH>
            <wp:positionV relativeFrom="paragraph">
              <wp:posOffset>476885</wp:posOffset>
            </wp:positionV>
            <wp:extent cx="1941195" cy="2644775"/>
            <wp:effectExtent l="0" t="0" r="1905" b="0"/>
            <wp:wrapTopAndBottom/>
            <wp:docPr id="9" name="Image 1">
              <a:extLst xmlns:a="http://schemas.openxmlformats.org/drawingml/2006/main">
                <a:ext uri="{FF2B5EF4-FFF2-40B4-BE49-F238E27FC236}">
                  <a16:creationId xmlns:a16="http://schemas.microsoft.com/office/drawing/2014/main" id="{2491CD42-0E2F-C31F-BE97-2D595F79125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 1">
                      <a:extLst>
                        <a:ext uri="{FF2B5EF4-FFF2-40B4-BE49-F238E27FC236}">
                          <a16:creationId xmlns:a16="http://schemas.microsoft.com/office/drawing/2014/main" id="{2491CD42-0E2F-C31F-BE97-2D595F791252}"/>
                        </a:ext>
                      </a:extLst>
                    </pic:cNvPr>
                    <pic:cNvPicPr>
                      <a:picLocks noChangeAspect="1"/>
                    </pic:cNvPicPr>
                  </pic:nvPicPr>
                  <pic:blipFill>
                    <a:blip r:embed="rId14" cstate="print">
                      <a:extLst>
                        <a:ext uri="{28A0092B-C50C-407E-A947-70E740481C1C}">
                          <a14:useLocalDpi xmlns:a14="http://schemas.microsoft.com/office/drawing/2010/main" val="0"/>
                        </a:ext>
                      </a:extLst>
                    </a:blip>
                    <a:stretch>
                      <a:fillRect/>
                    </a:stretch>
                  </pic:blipFill>
                  <pic:spPr>
                    <a:xfrm>
                      <a:off x="0" y="0"/>
                      <a:ext cx="1941195" cy="2644775"/>
                    </a:xfrm>
                    <a:prstGeom prst="rect">
                      <a:avLst/>
                    </a:prstGeom>
                  </pic:spPr>
                </pic:pic>
              </a:graphicData>
            </a:graphic>
            <wp14:sizeRelH relativeFrom="page">
              <wp14:pctWidth>0</wp14:pctWidth>
            </wp14:sizeRelH>
            <wp14:sizeRelV relativeFrom="page">
              <wp14:pctHeight>0</wp14:pctHeight>
            </wp14:sizeRelV>
          </wp:anchor>
        </w:drawing>
      </w:r>
    </w:p>
    <w:p w:rsidR="003A5ADE" w:rsidRDefault="003A5ADE" w:rsidP="003A5ADE">
      <w:pPr>
        <w:pStyle w:val="NormalWeb"/>
        <w:rPr>
          <w:sz w:val="28"/>
          <w:szCs w:val="28"/>
          <w:lang w:val="en-US"/>
        </w:rPr>
      </w:pPr>
    </w:p>
    <w:p w:rsidR="003A5ADE" w:rsidRDefault="003A5ADE" w:rsidP="003A5ADE">
      <w:pPr>
        <w:pStyle w:val="NormalWeb"/>
        <w:rPr>
          <w:sz w:val="28"/>
          <w:szCs w:val="28"/>
          <w:lang w:val="en-US"/>
        </w:rPr>
      </w:pPr>
    </w:p>
    <w:p w:rsidR="003A5ADE" w:rsidRPr="003A5ADE" w:rsidRDefault="003A5ADE" w:rsidP="003A5ADE">
      <w:pPr>
        <w:pStyle w:val="NormalWeb"/>
        <w:rPr>
          <w:i/>
          <w:sz w:val="28"/>
          <w:szCs w:val="28"/>
          <w:u w:val="single"/>
          <w:lang w:val="en-US"/>
        </w:rPr>
      </w:pPr>
      <w:r w:rsidRPr="003A5ADE">
        <w:rPr>
          <w:rStyle w:val="lev"/>
          <w:i/>
          <w:sz w:val="28"/>
          <w:szCs w:val="28"/>
          <w:u w:val="single"/>
          <w:lang w:val="en-US"/>
        </w:rPr>
        <w:t>Figure 3.</w:t>
      </w:r>
      <w:r w:rsidRPr="003A5ADE">
        <w:rPr>
          <w:i/>
          <w:sz w:val="28"/>
          <w:szCs w:val="28"/>
          <w:u w:val="single"/>
          <w:lang w:val="en-US"/>
        </w:rPr>
        <w:t xml:space="preserve"> Standard X-ray showing multiple diaphyseal fractures of the </w:t>
      </w:r>
      <w:proofErr w:type="spellStart"/>
      <w:r w:rsidRPr="003A5ADE">
        <w:rPr>
          <w:i/>
          <w:sz w:val="28"/>
          <w:szCs w:val="28"/>
          <w:u w:val="single"/>
          <w:lang w:val="en-US"/>
        </w:rPr>
        <w:t>humeri</w:t>
      </w:r>
      <w:proofErr w:type="spellEnd"/>
      <w:r w:rsidRPr="003A5ADE">
        <w:rPr>
          <w:i/>
          <w:sz w:val="28"/>
          <w:szCs w:val="28"/>
          <w:u w:val="single"/>
          <w:lang w:val="en-US"/>
        </w:rPr>
        <w:t xml:space="preserve"> and </w:t>
      </w:r>
      <w:proofErr w:type="gramStart"/>
      <w:r w:rsidRPr="003A5ADE">
        <w:rPr>
          <w:i/>
          <w:sz w:val="28"/>
          <w:szCs w:val="28"/>
          <w:u w:val="single"/>
          <w:lang w:val="en-US"/>
        </w:rPr>
        <w:t>femora..</w:t>
      </w:r>
      <w:proofErr w:type="gramEnd"/>
    </w:p>
    <w:p w:rsidR="003A5ADE" w:rsidRDefault="003A5ADE" w:rsidP="003A5ADE">
      <w:pPr>
        <w:pStyle w:val="NormalWeb"/>
        <w:rPr>
          <w:lang w:val="en-US"/>
        </w:rPr>
      </w:pPr>
    </w:p>
    <w:p w:rsidR="003A5ADE" w:rsidRDefault="003A5ADE" w:rsidP="003A5ADE">
      <w:pPr>
        <w:pStyle w:val="NormalWeb"/>
        <w:rPr>
          <w:lang w:val="en-US"/>
        </w:rPr>
      </w:pPr>
    </w:p>
    <w:p w:rsidR="003A5ADE" w:rsidRDefault="003A5ADE" w:rsidP="003A5ADE">
      <w:pPr>
        <w:pStyle w:val="NormalWeb"/>
        <w:rPr>
          <w:lang w:val="en-US"/>
        </w:rPr>
      </w:pPr>
    </w:p>
    <w:p w:rsidR="003A5ADE" w:rsidRDefault="003A5ADE" w:rsidP="003A5ADE">
      <w:pPr>
        <w:pStyle w:val="NormalWeb"/>
        <w:rPr>
          <w:lang w:val="en-US"/>
        </w:rPr>
      </w:pPr>
    </w:p>
    <w:p w:rsidR="003A5ADE" w:rsidRDefault="003A5ADE" w:rsidP="003A5ADE">
      <w:pPr>
        <w:pStyle w:val="NormalWeb"/>
        <w:rPr>
          <w:lang w:val="en-US"/>
        </w:rPr>
      </w:pPr>
      <w:r w:rsidRPr="003A5ADE">
        <w:rPr>
          <w:lang w:val="en-US"/>
        </w:rPr>
        <w:lastRenderedPageBreak/>
        <w:t xml:space="preserve">Laboratory findings were as follows: calcium 87 mg/L, phosphorus 53 mg/L, alkaline phosphatase 143 IU/L, and parathyroid hormone 24 </w:t>
      </w:r>
      <w:proofErr w:type="spellStart"/>
      <w:r w:rsidRPr="003A5ADE">
        <w:rPr>
          <w:lang w:val="en-US"/>
        </w:rPr>
        <w:t>pg</w:t>
      </w:r>
      <w:proofErr w:type="spellEnd"/>
      <w:r w:rsidRPr="003A5ADE">
        <w:rPr>
          <w:lang w:val="en-US"/>
        </w:rPr>
        <w:t>/</w:t>
      </w:r>
      <w:proofErr w:type="spellStart"/>
      <w:r w:rsidRPr="003A5ADE">
        <w:rPr>
          <w:lang w:val="en-US"/>
        </w:rPr>
        <w:t>mL.</w:t>
      </w:r>
      <w:proofErr w:type="spellEnd"/>
      <w:r w:rsidRPr="003A5ADE">
        <w:rPr>
          <w:lang w:val="en-US"/>
        </w:rPr>
        <w:t xml:space="preserve"> Genetic testing confirmed a </w:t>
      </w:r>
      <w:r w:rsidRPr="003A5ADE">
        <w:rPr>
          <w:rStyle w:val="Accentuation"/>
          <w:lang w:val="en-US"/>
        </w:rPr>
        <w:t>COL1A2</w:t>
      </w:r>
      <w:r w:rsidRPr="003A5ADE">
        <w:rPr>
          <w:lang w:val="en-US"/>
        </w:rPr>
        <w:t xml:space="preserve"> (</w:t>
      </w:r>
      <w:proofErr w:type="gramStart"/>
      <w:r w:rsidRPr="003A5ADE">
        <w:rPr>
          <w:lang w:val="en-US"/>
        </w:rPr>
        <w:t>p.Gly</w:t>
      </w:r>
      <w:proofErr w:type="gramEnd"/>
      <w:r w:rsidRPr="003A5ADE">
        <w:rPr>
          <w:lang w:val="en-US"/>
        </w:rPr>
        <w:t>358Ser) mutation, consistent with type II OI.</w:t>
      </w:r>
    </w:p>
    <w:p w:rsidR="003A5ADE" w:rsidRPr="003A5ADE" w:rsidRDefault="003A5ADE" w:rsidP="003A5ADE">
      <w:pPr>
        <w:pStyle w:val="NormalWeb"/>
        <w:rPr>
          <w:lang w:val="en-US"/>
        </w:rPr>
      </w:pPr>
      <w:r w:rsidRPr="003A5ADE">
        <w:rPr>
          <w:lang w:val="en-US"/>
        </w:rPr>
        <w:t xml:space="preserve">The patient initially received </w:t>
      </w:r>
      <w:r w:rsidRPr="003A5ADE">
        <w:rPr>
          <w:rStyle w:val="lev"/>
          <w:lang w:val="en-US"/>
        </w:rPr>
        <w:t>analgesic treatment with paracetamol</w:t>
      </w:r>
      <w:r w:rsidRPr="003A5ADE">
        <w:rPr>
          <w:lang w:val="en-US"/>
        </w:rPr>
        <w:t xml:space="preserve">, but due to persistently elevated </w:t>
      </w:r>
      <w:r w:rsidRPr="003A5ADE">
        <w:rPr>
          <w:rStyle w:val="lev"/>
          <w:lang w:val="en-US"/>
        </w:rPr>
        <w:t xml:space="preserve">EDIN </w:t>
      </w:r>
      <w:proofErr w:type="gramStart"/>
      <w:r>
        <w:rPr>
          <w:rStyle w:val="lev"/>
          <w:lang w:val="en-US"/>
        </w:rPr>
        <w:t xml:space="preserve">score </w:t>
      </w:r>
      <w:r w:rsidRPr="003A5ADE">
        <w:rPr>
          <w:lang w:val="en-US"/>
        </w:rPr>
        <w:t>,</w:t>
      </w:r>
      <w:proofErr w:type="gramEnd"/>
      <w:r w:rsidRPr="003A5ADE">
        <w:rPr>
          <w:lang w:val="en-US"/>
        </w:rPr>
        <w:t xml:space="preserve"> continuous pain management was escalated to </w:t>
      </w:r>
      <w:r w:rsidRPr="003A5ADE">
        <w:rPr>
          <w:rStyle w:val="lev"/>
          <w:lang w:val="en-US"/>
        </w:rPr>
        <w:t>intermittent morphine infusion</w:t>
      </w:r>
      <w:r w:rsidRPr="003A5ADE">
        <w:rPr>
          <w:lang w:val="en-US"/>
        </w:rPr>
        <w:t xml:space="preserve">. Morphine was administered under close monitoring, with progressive tapering as the patient’s pain improved. </w:t>
      </w:r>
      <w:r w:rsidRPr="003A5ADE">
        <w:rPr>
          <w:rStyle w:val="lev"/>
          <w:lang w:val="en-US"/>
        </w:rPr>
        <w:t>No withdrawal symptoms</w:t>
      </w:r>
      <w:r w:rsidRPr="003A5ADE">
        <w:rPr>
          <w:lang w:val="en-US"/>
        </w:rPr>
        <w:t xml:space="preserve"> were observed during or after weaning.</w:t>
      </w:r>
    </w:p>
    <w:p w:rsidR="003A5ADE" w:rsidRDefault="003A5ADE" w:rsidP="003A5ADE">
      <w:pPr>
        <w:pStyle w:val="NormalWeb"/>
        <w:rPr>
          <w:lang w:val="en-US"/>
        </w:rPr>
      </w:pPr>
      <w:r w:rsidRPr="003A5ADE">
        <w:rPr>
          <w:lang w:val="en-US"/>
        </w:rPr>
        <w:t>The patient received calcium and vitamin D supplementation and was treated with intravenous zoledronic acid (0.05 mg every six months, first dose at day 42 of life). The treatment was well tolerated; transient post-infusion fever occurred without hypocalcemia.</w:t>
      </w:r>
    </w:p>
    <w:p w:rsidR="003A5ADE" w:rsidRPr="003A5ADE" w:rsidRDefault="003A5ADE" w:rsidP="003A5ADE">
      <w:pPr>
        <w:rPr>
          <w:lang w:val="en-US"/>
        </w:rPr>
      </w:pPr>
      <w:r w:rsidRPr="003A5ADE">
        <w:rPr>
          <w:rStyle w:val="lev"/>
          <w:lang w:val="en-US"/>
        </w:rPr>
        <w:t>Short-term follow-up</w:t>
      </w:r>
      <w:r w:rsidRPr="003A5ADE">
        <w:rPr>
          <w:lang w:val="en-US"/>
        </w:rPr>
        <w:t xml:space="preserve"> showed </w:t>
      </w:r>
      <w:r w:rsidRPr="003A5ADE">
        <w:rPr>
          <w:rStyle w:val="lev"/>
          <w:lang w:val="en-US"/>
        </w:rPr>
        <w:t>no new fractures</w:t>
      </w:r>
      <w:r w:rsidRPr="003A5ADE">
        <w:rPr>
          <w:lang w:val="en-US"/>
        </w:rPr>
        <w:t xml:space="preserve">. An orthopedic intervention is planned to address the </w:t>
      </w:r>
      <w:r w:rsidRPr="003A5ADE">
        <w:rPr>
          <w:rStyle w:val="lev"/>
          <w:lang w:val="en-US"/>
        </w:rPr>
        <w:t>previously healed fractures and residual deformities</w:t>
      </w:r>
      <w:r w:rsidRPr="003A5ADE">
        <w:rPr>
          <w:lang w:val="en-US"/>
        </w:rPr>
        <w:t xml:space="preserve">. At the time of reporting, </w:t>
      </w:r>
      <w:r w:rsidRPr="003A5ADE">
        <w:rPr>
          <w:rStyle w:val="lev"/>
          <w:lang w:val="en-US"/>
        </w:rPr>
        <w:t>no analgesic medication was required</w:t>
      </w:r>
      <w:r w:rsidRPr="003A5ADE">
        <w:rPr>
          <w:lang w:val="en-US"/>
        </w:rPr>
        <w:t>, and the infant remained clinically stable.</w:t>
      </w:r>
    </w:p>
    <w:p w:rsidR="003A5ADE" w:rsidRPr="003A5ADE" w:rsidRDefault="003A5ADE" w:rsidP="003A5ADE">
      <w:pPr>
        <w:pStyle w:val="NormalWeb"/>
        <w:rPr>
          <w:b/>
          <w:sz w:val="32"/>
          <w:szCs w:val="32"/>
          <w:lang w:val="en-US"/>
        </w:rPr>
      </w:pPr>
    </w:p>
    <w:p w:rsidR="003A5ADE" w:rsidRDefault="003A5ADE" w:rsidP="003A5ADE">
      <w:pPr>
        <w:pStyle w:val="NormalWeb"/>
        <w:rPr>
          <w:b/>
          <w:sz w:val="32"/>
          <w:szCs w:val="32"/>
          <w:lang w:val="en-US"/>
        </w:rPr>
      </w:pPr>
      <w:proofErr w:type="gramStart"/>
      <w:r w:rsidRPr="003A5ADE">
        <w:rPr>
          <w:b/>
          <w:sz w:val="32"/>
          <w:szCs w:val="32"/>
          <w:lang w:val="en-US"/>
        </w:rPr>
        <w:t>DISCUSSION</w:t>
      </w:r>
      <w:r>
        <w:rPr>
          <w:b/>
          <w:sz w:val="32"/>
          <w:szCs w:val="32"/>
          <w:lang w:val="en-US"/>
        </w:rPr>
        <w:t xml:space="preserve"> :</w:t>
      </w:r>
      <w:proofErr w:type="gramEnd"/>
    </w:p>
    <w:p w:rsidR="003A5ADE" w:rsidRDefault="003A5ADE" w:rsidP="003A5ADE">
      <w:pPr>
        <w:pStyle w:val="NormalWeb"/>
        <w:rPr>
          <w:b/>
          <w:sz w:val="32"/>
          <w:szCs w:val="32"/>
          <w:lang w:val="en-US"/>
        </w:rPr>
      </w:pPr>
    </w:p>
    <w:p w:rsidR="003A5ADE" w:rsidRPr="003A5ADE" w:rsidRDefault="003A5ADE" w:rsidP="003A5ADE">
      <w:pPr>
        <w:pStyle w:val="NormalWeb"/>
        <w:rPr>
          <w:lang w:val="en-US"/>
        </w:rPr>
      </w:pPr>
      <w:r w:rsidRPr="003A5ADE">
        <w:rPr>
          <w:lang w:val="en-US"/>
        </w:rPr>
        <w:t xml:space="preserve">Osteogenesis imperfecta (OI) is a heterogeneous hereditary disorder of connective tissue caused mainly by mutations in the </w:t>
      </w:r>
      <w:r w:rsidRPr="003A5ADE">
        <w:rPr>
          <w:rStyle w:val="Accentuation"/>
          <w:lang w:val="en-US"/>
        </w:rPr>
        <w:t>COL1A1</w:t>
      </w:r>
      <w:r w:rsidRPr="003A5ADE">
        <w:rPr>
          <w:lang w:val="en-US"/>
        </w:rPr>
        <w:t xml:space="preserve"> and </w:t>
      </w:r>
      <w:r w:rsidRPr="003A5ADE">
        <w:rPr>
          <w:rStyle w:val="Accentuation"/>
          <w:lang w:val="en-US"/>
        </w:rPr>
        <w:t>COL1A2</w:t>
      </w:r>
      <w:r w:rsidRPr="003A5ADE">
        <w:rPr>
          <w:lang w:val="en-US"/>
        </w:rPr>
        <w:t xml:space="preserve"> genes, which encode the </w:t>
      </w:r>
      <w:r>
        <w:t>α</w:t>
      </w:r>
      <w:r w:rsidRPr="003A5ADE">
        <w:rPr>
          <w:lang w:val="en-US"/>
        </w:rPr>
        <w:t xml:space="preserve">1 and </w:t>
      </w:r>
      <w:r>
        <w:t>α</w:t>
      </w:r>
      <w:r w:rsidRPr="003A5ADE">
        <w:rPr>
          <w:lang w:val="en-US"/>
        </w:rPr>
        <w:t>2 chains of type I collagen. Defective synthesis or altered structure of type I collagen results in abnormal bone matrix formation and increased bone fragility. The clinical spectrum is broad, ranging from mild forms characterized by recurrent fractures and normal stature to severe perinatal-lethal types associated with multiple antenatal fractures, skeletal deformities, and respiratory failure. The incidence of OI is estimated at 1 in 15,000 to 20,000 births, but its true frequency may be underestimated due to early fetal loss and diagnostic challenges in low-resource settings [1].</w:t>
      </w:r>
    </w:p>
    <w:p w:rsidR="003A5ADE" w:rsidRPr="003A5ADE" w:rsidRDefault="003A5ADE" w:rsidP="003A5ADE">
      <w:pPr>
        <w:pStyle w:val="NormalWeb"/>
        <w:rPr>
          <w:lang w:val="en-US"/>
        </w:rPr>
      </w:pPr>
      <w:r w:rsidRPr="003A5ADE">
        <w:rPr>
          <w:lang w:val="en-US"/>
        </w:rPr>
        <w:t xml:space="preserve">In recent years, advances in prenatal imaging and molecular genetics have considerably improved the understanding and diagnosis of OI. Antenatal ultrasound plays a pivotal role in the early detection of severe skeletal dysplasias. Typical features suggestive of OI include limb shortening, bowing or angulation of long bones, multiple fractures, micromelia, and decreased calvarial ossification leading to compressible skull bones. These findings can be detected as early as the second trimester and are often accompanied by intrauterine growth restriction. However, differential diagnosis with other skeletal dysplasias such as thanatophoric dysplasia, hypophosphatasia, and campomelic dysplasia can be difficult, highlighting the importance of molecular confirmation. The identification of a pathogenic variant in </w:t>
      </w:r>
      <w:r w:rsidRPr="003A5ADE">
        <w:rPr>
          <w:rStyle w:val="Accentuation"/>
          <w:lang w:val="en-US"/>
        </w:rPr>
        <w:t>COL1A1</w:t>
      </w:r>
      <w:r w:rsidRPr="003A5ADE">
        <w:rPr>
          <w:lang w:val="en-US"/>
        </w:rPr>
        <w:t xml:space="preserve"> or </w:t>
      </w:r>
      <w:r w:rsidRPr="003A5ADE">
        <w:rPr>
          <w:rStyle w:val="Accentuation"/>
          <w:lang w:val="en-US"/>
        </w:rPr>
        <w:t>COL1A2</w:t>
      </w:r>
      <w:r w:rsidRPr="003A5ADE">
        <w:rPr>
          <w:lang w:val="en-US"/>
        </w:rPr>
        <w:t xml:space="preserve"> confirms the diagnosis and provides crucial information for genetic counseling and prognostication [2,3].</w:t>
      </w:r>
    </w:p>
    <w:p w:rsidR="003A5ADE" w:rsidRPr="003A5ADE" w:rsidRDefault="003A5ADE" w:rsidP="003A5ADE">
      <w:pPr>
        <w:pStyle w:val="NormalWeb"/>
        <w:rPr>
          <w:lang w:val="en-US"/>
        </w:rPr>
      </w:pPr>
      <w:r w:rsidRPr="003A5ADE">
        <w:rPr>
          <w:lang w:val="en-US"/>
        </w:rPr>
        <w:t xml:space="preserve">Our case aligns with several recent reports describing antenatal detection of limb deformities and multiple fractures later confirmed as OI type II. Timila et al. (2025) reported a neonate with multiple intrauterine fractures who survived after early multidisciplinary intervention [4]. </w:t>
      </w:r>
      <w:r w:rsidRPr="003A5ADE">
        <w:rPr>
          <w:lang w:val="en-US"/>
        </w:rPr>
        <w:lastRenderedPageBreak/>
        <w:t xml:space="preserve">Peláez Chomba et al. (2023) described a prenatal diagnosis in a resource-limited setting, emphasizing the ethical and emotional complexity surrounding parental decision-making in severe OI [5]. Vankevičienė et al. (2023) documented a sporadic </w:t>
      </w:r>
      <w:r w:rsidRPr="003A5ADE">
        <w:rPr>
          <w:rStyle w:val="Accentuation"/>
          <w:lang w:val="en-US"/>
        </w:rPr>
        <w:t>COL1A1</w:t>
      </w:r>
      <w:r w:rsidRPr="003A5ADE">
        <w:rPr>
          <w:lang w:val="en-US"/>
        </w:rPr>
        <w:t xml:space="preserve"> mutation detected prenatally, reinforcing the significance of genotype–phenotype correlation [6]. Carroll et al. (2025) reviewed a cohort of prenatally diagnosed infants and demonstrated that many of these neonates survived beyond the first months of life, challenging the long-held belief that type II OI is uniformly lethal [7]. These findings collectively highlight the value of antenatal diagnosis in anticipating postnatal complications, planning delivery in a specialized neonatal unit, and initiating early management.</w:t>
      </w:r>
    </w:p>
    <w:p w:rsidR="003A5ADE" w:rsidRPr="003A5ADE" w:rsidRDefault="003A5ADE" w:rsidP="003A5ADE">
      <w:pPr>
        <w:pStyle w:val="NormalWeb"/>
        <w:rPr>
          <w:lang w:val="en-US"/>
        </w:rPr>
      </w:pPr>
      <w:r w:rsidRPr="003A5ADE">
        <w:rPr>
          <w:lang w:val="en-US"/>
        </w:rPr>
        <w:t>The clinical management of neonatal OI is complex and requires a coordinated multidisciplinary approach. Immediate priorities after birth include gentle handling to avoid iatrogenic fractures, adequate pain control, respiratory support if required, and genetic confirmation. Pain management is particularly important, as neonates with OI experience persistent discomfort related to multiple fractures and skeletal deformities. Behavioral scales such as the EDIN (Neonatal Pain and Discomfort Scale) are valuable tools for assessing prolonged pain in this population. In our patient, analgesia was initiated with paracetamol but was escalated to intermittent morphine infusion due to persistently elevated EDIN scores. Morphine was gradually tapered as pain decreased, and no withdrawal symptoms were observed. This individualized approach ensured effective pain control during the acute phase, allowing comfortable mobilization and care.</w:t>
      </w:r>
    </w:p>
    <w:p w:rsidR="003A5ADE" w:rsidRPr="003A5ADE" w:rsidRDefault="003A5ADE" w:rsidP="003A5ADE">
      <w:pPr>
        <w:pStyle w:val="NormalWeb"/>
        <w:rPr>
          <w:lang w:val="en-US"/>
        </w:rPr>
      </w:pPr>
      <w:r w:rsidRPr="003A5ADE">
        <w:rPr>
          <w:lang w:val="en-US"/>
        </w:rPr>
        <w:t>Among pharmacologic therapies, bisphosphonates have emerged as the cornerstone of medical treatment in moderate-to-severe OI. By inhibiting osteoclast-mediated bone resorption, these agents increase bone mineral density and decrease the rate of new fractures. Glorieux et al. were the first to report the efficacy of cyclical intravenous pamidronate in children with OI, showing improvements in mobility, vertebral shape, and pain reduction [8]. More recently, zoledronic acid has gained interest as an alternative due to its higher potency, shorter infusion time, and longer dosing interval. Timila et al. (2025) and Arundel et al. (2023) reported successful use of zoledronic acid in infants, with improved bone density and decreased fracture incidence within months of therapy initiation [4,9]. In our patient, intravenous zoledronic acid was started at 42 days of life and was well tolerated, producing no hypocalcemia or metabolic disturbances. This early initiation appears to support bone stabilization and may help reduce the frequency of subsequent fractures.</w:t>
      </w:r>
    </w:p>
    <w:p w:rsidR="003A5ADE" w:rsidRPr="003A5ADE" w:rsidRDefault="003A5ADE" w:rsidP="003A5ADE">
      <w:pPr>
        <w:pStyle w:val="NormalWeb"/>
        <w:rPr>
          <w:lang w:val="en-US"/>
        </w:rPr>
      </w:pPr>
      <w:r w:rsidRPr="003A5ADE">
        <w:rPr>
          <w:lang w:val="en-US"/>
        </w:rPr>
        <w:t>Despite these advances, OI remains a lifelong condition requiring ongoing orthopedic, rehabilitative, and psychosocial support. The prognosis depends on the genetic variant, the severity of skeletal and respiratory involvement, and the quality of multidisciplinary care. Historically, type II OI was considered incompatible with life, but recent data indicate a trend toward increased survival with aggressive supportive management. In Carroll’s 2025 cohort, several infants initially labeled as “lethal” survived into childhood with variable degrees of functional independence [7]. Medium- and long-term follow-up of treated patients demonstrates improved bone density, reduced fracture frequency, and enhanced quality of life. Nevertheless, these children often face persistent challenges such as growth retardation, scoliosis, recurrent fractures, and chronic pain.</w:t>
      </w:r>
    </w:p>
    <w:p w:rsidR="003A5ADE" w:rsidRPr="003A5ADE" w:rsidRDefault="003A5ADE" w:rsidP="003A5ADE">
      <w:pPr>
        <w:pStyle w:val="NormalWeb"/>
        <w:rPr>
          <w:lang w:val="en-US"/>
        </w:rPr>
      </w:pPr>
      <w:r w:rsidRPr="003A5ADE">
        <w:rPr>
          <w:lang w:val="en-US"/>
        </w:rPr>
        <w:t>Future therapeutic perspectives are promising. Beyond bisphosphonates, novel approaches such as anti-sclerostin antibodies, transforming growth factor-</w:t>
      </w:r>
      <w:r>
        <w:t>β</w:t>
      </w:r>
      <w:r w:rsidRPr="003A5ADE">
        <w:rPr>
          <w:lang w:val="en-US"/>
        </w:rPr>
        <w:t xml:space="preserve"> (TGF-</w:t>
      </w:r>
      <w:r>
        <w:t>β</w:t>
      </w:r>
      <w:r w:rsidRPr="003A5ADE">
        <w:rPr>
          <w:lang w:val="en-US"/>
        </w:rPr>
        <w:t xml:space="preserve">) inhibitors, mesenchymal stem cell transplantation, and gene-editing techniques are under investigation and may offer disease-modifying or even curative potential in the coming years [10]. Early </w:t>
      </w:r>
      <w:r w:rsidRPr="003A5ADE">
        <w:rPr>
          <w:lang w:val="en-US"/>
        </w:rPr>
        <w:lastRenderedPageBreak/>
        <w:t>identification, precise genetic characterization, and proactive multidisciplinary management remain the key determinants of survival and functional outcome.</w:t>
      </w:r>
    </w:p>
    <w:p w:rsidR="003A5ADE" w:rsidRPr="003A5ADE" w:rsidRDefault="003A5ADE" w:rsidP="003A5ADE">
      <w:pPr>
        <w:pStyle w:val="NormalWeb"/>
        <w:rPr>
          <w:lang w:val="en-US"/>
        </w:rPr>
      </w:pPr>
      <w:r w:rsidRPr="003A5ADE">
        <w:rPr>
          <w:lang w:val="en-US"/>
        </w:rPr>
        <w:t>In summary, this case adds to the growing evidence that early diagnosis and timely intervention can significantly alter the prognosis of severe neonatal OI. Antenatal recognition enables appropriate delivery planning and parental counseling, while early initiation of bisphosphonate therapy, optimized analgesia, and orthopedic follow-up contribute to improved comfort and quality of life. The evolution of therapeutic strategies continues to transform this once-lethal disorder into a condition compatible with longer survival and meaningful functional improvement.</w:t>
      </w:r>
    </w:p>
    <w:p w:rsidR="003A5ADE" w:rsidRPr="003A5ADE" w:rsidRDefault="003A5ADE" w:rsidP="003A5ADE">
      <w:pPr>
        <w:pStyle w:val="NormalWeb"/>
        <w:rPr>
          <w:b/>
          <w:sz w:val="32"/>
          <w:szCs w:val="32"/>
          <w:lang w:val="en-US"/>
        </w:rPr>
      </w:pPr>
    </w:p>
    <w:p w:rsidR="003A5ADE" w:rsidRPr="003A5ADE" w:rsidRDefault="003A5ADE" w:rsidP="003A5ADE">
      <w:pPr>
        <w:rPr>
          <w:lang w:val="en-US"/>
        </w:rPr>
      </w:pPr>
    </w:p>
    <w:p w:rsidR="00AC3A18" w:rsidRPr="003A5ADE" w:rsidRDefault="00AC3A18" w:rsidP="00AC3A18">
      <w:pPr>
        <w:spacing w:beforeAutospacing="1" w:afterAutospacing="1"/>
        <w:rPr>
          <w:rFonts w:ascii="Arial" w:hAnsi="Arial" w:cs="Arial"/>
          <w:b/>
          <w:bCs/>
          <w:color w:val="000000"/>
          <w:sz w:val="32"/>
          <w:szCs w:val="32"/>
          <w:bdr w:val="none" w:sz="0" w:space="0" w:color="auto" w:frame="1"/>
          <w:lang w:val="en-US"/>
        </w:rPr>
      </w:pPr>
      <w:r w:rsidRPr="003A5ADE">
        <w:rPr>
          <w:rFonts w:ascii="Arial" w:hAnsi="Arial" w:cs="Arial"/>
          <w:b/>
          <w:bCs/>
          <w:color w:val="000000"/>
          <w:sz w:val="32"/>
          <w:szCs w:val="32"/>
          <w:bdr w:val="none" w:sz="0" w:space="0" w:color="auto" w:frame="1"/>
          <w:lang w:val="en-US"/>
        </w:rPr>
        <w:t>References:</w:t>
      </w:r>
    </w:p>
    <w:p w:rsidR="003A5ADE" w:rsidRPr="003A5ADE" w:rsidRDefault="003A5ADE" w:rsidP="003A5ADE">
      <w:pPr>
        <w:pStyle w:val="NormalWeb"/>
        <w:numPr>
          <w:ilvl w:val="0"/>
          <w:numId w:val="4"/>
        </w:numPr>
        <w:rPr>
          <w:sz w:val="28"/>
          <w:szCs w:val="28"/>
        </w:rPr>
      </w:pPr>
      <w:r w:rsidRPr="003A5ADE">
        <w:rPr>
          <w:sz w:val="28"/>
          <w:szCs w:val="28"/>
          <w:lang w:val="es-ES"/>
        </w:rPr>
        <w:t xml:space="preserve">Marini JC, Forlino A. Osteogenesis imperfecta. </w:t>
      </w:r>
      <w:r w:rsidRPr="003A5ADE">
        <w:rPr>
          <w:rStyle w:val="Accentuation"/>
          <w:sz w:val="28"/>
          <w:szCs w:val="28"/>
        </w:rPr>
        <w:t xml:space="preserve">Nat </w:t>
      </w:r>
      <w:proofErr w:type="spellStart"/>
      <w:r w:rsidRPr="003A5ADE">
        <w:rPr>
          <w:rStyle w:val="Accentuation"/>
          <w:sz w:val="28"/>
          <w:szCs w:val="28"/>
        </w:rPr>
        <w:t>Rev</w:t>
      </w:r>
      <w:proofErr w:type="spellEnd"/>
      <w:r w:rsidRPr="003A5ADE">
        <w:rPr>
          <w:rStyle w:val="Accentuation"/>
          <w:sz w:val="28"/>
          <w:szCs w:val="28"/>
        </w:rPr>
        <w:t xml:space="preserve"> Dis </w:t>
      </w:r>
      <w:proofErr w:type="spellStart"/>
      <w:r w:rsidRPr="003A5ADE">
        <w:rPr>
          <w:rStyle w:val="Accentuation"/>
          <w:sz w:val="28"/>
          <w:szCs w:val="28"/>
        </w:rPr>
        <w:t>Primers</w:t>
      </w:r>
      <w:proofErr w:type="spellEnd"/>
      <w:r w:rsidRPr="003A5ADE">
        <w:rPr>
          <w:rStyle w:val="Accentuation"/>
          <w:sz w:val="28"/>
          <w:szCs w:val="28"/>
        </w:rPr>
        <w:t>.</w:t>
      </w:r>
      <w:r w:rsidRPr="003A5ADE">
        <w:rPr>
          <w:sz w:val="28"/>
          <w:szCs w:val="28"/>
        </w:rPr>
        <w:t xml:space="preserve"> 2017;3:17052.</w:t>
      </w:r>
    </w:p>
    <w:p w:rsidR="003A5ADE" w:rsidRPr="003A5ADE" w:rsidRDefault="003A5ADE" w:rsidP="003A5ADE">
      <w:pPr>
        <w:pStyle w:val="NormalWeb"/>
        <w:numPr>
          <w:ilvl w:val="0"/>
          <w:numId w:val="4"/>
        </w:numPr>
        <w:rPr>
          <w:sz w:val="28"/>
          <w:szCs w:val="28"/>
        </w:rPr>
      </w:pPr>
      <w:proofErr w:type="spellStart"/>
      <w:r w:rsidRPr="003A5ADE">
        <w:rPr>
          <w:sz w:val="28"/>
          <w:szCs w:val="28"/>
        </w:rPr>
        <w:t>Rauch</w:t>
      </w:r>
      <w:proofErr w:type="spellEnd"/>
      <w:r w:rsidRPr="003A5ADE">
        <w:rPr>
          <w:sz w:val="28"/>
          <w:szCs w:val="28"/>
        </w:rPr>
        <w:t xml:space="preserve"> F, Glorieux FH. </w:t>
      </w:r>
      <w:proofErr w:type="spellStart"/>
      <w:r w:rsidRPr="003A5ADE">
        <w:rPr>
          <w:sz w:val="28"/>
          <w:szCs w:val="28"/>
        </w:rPr>
        <w:t>Osteogenesis</w:t>
      </w:r>
      <w:proofErr w:type="spellEnd"/>
      <w:r w:rsidRPr="003A5ADE">
        <w:rPr>
          <w:sz w:val="28"/>
          <w:szCs w:val="28"/>
        </w:rPr>
        <w:t xml:space="preserve"> </w:t>
      </w:r>
      <w:proofErr w:type="spellStart"/>
      <w:r w:rsidRPr="003A5ADE">
        <w:rPr>
          <w:sz w:val="28"/>
          <w:szCs w:val="28"/>
        </w:rPr>
        <w:t>imperfecta</w:t>
      </w:r>
      <w:proofErr w:type="spellEnd"/>
      <w:r w:rsidRPr="003A5ADE">
        <w:rPr>
          <w:sz w:val="28"/>
          <w:szCs w:val="28"/>
        </w:rPr>
        <w:t xml:space="preserve">. </w:t>
      </w:r>
      <w:r w:rsidRPr="003A5ADE">
        <w:rPr>
          <w:rStyle w:val="Accentuation"/>
          <w:sz w:val="28"/>
          <w:szCs w:val="28"/>
        </w:rPr>
        <w:t>Lancet.</w:t>
      </w:r>
      <w:r w:rsidRPr="003A5ADE">
        <w:rPr>
          <w:sz w:val="28"/>
          <w:szCs w:val="28"/>
        </w:rPr>
        <w:t xml:space="preserve"> 2004;363(9418):1377–85.</w:t>
      </w:r>
    </w:p>
    <w:p w:rsidR="003A5ADE" w:rsidRPr="003A5ADE" w:rsidRDefault="003A5ADE" w:rsidP="003A5ADE">
      <w:pPr>
        <w:pStyle w:val="NormalWeb"/>
        <w:numPr>
          <w:ilvl w:val="0"/>
          <w:numId w:val="4"/>
        </w:numPr>
        <w:rPr>
          <w:sz w:val="28"/>
          <w:szCs w:val="28"/>
        </w:rPr>
      </w:pPr>
      <w:proofErr w:type="spellStart"/>
      <w:r w:rsidRPr="003A5ADE">
        <w:rPr>
          <w:sz w:val="28"/>
          <w:szCs w:val="28"/>
        </w:rPr>
        <w:t>Forlino</w:t>
      </w:r>
      <w:proofErr w:type="spellEnd"/>
      <w:r w:rsidRPr="003A5ADE">
        <w:rPr>
          <w:sz w:val="28"/>
          <w:szCs w:val="28"/>
        </w:rPr>
        <w:t xml:space="preserve"> A, Marini JC. </w:t>
      </w:r>
      <w:proofErr w:type="spellStart"/>
      <w:r w:rsidRPr="003A5ADE">
        <w:rPr>
          <w:sz w:val="28"/>
          <w:szCs w:val="28"/>
        </w:rPr>
        <w:t>Osteogenesis</w:t>
      </w:r>
      <w:proofErr w:type="spellEnd"/>
      <w:r w:rsidRPr="003A5ADE">
        <w:rPr>
          <w:sz w:val="28"/>
          <w:szCs w:val="28"/>
        </w:rPr>
        <w:t xml:space="preserve"> </w:t>
      </w:r>
      <w:proofErr w:type="spellStart"/>
      <w:r w:rsidRPr="003A5ADE">
        <w:rPr>
          <w:sz w:val="28"/>
          <w:szCs w:val="28"/>
        </w:rPr>
        <w:t>imperfecta</w:t>
      </w:r>
      <w:proofErr w:type="spellEnd"/>
      <w:r w:rsidRPr="003A5ADE">
        <w:rPr>
          <w:sz w:val="28"/>
          <w:szCs w:val="28"/>
        </w:rPr>
        <w:t xml:space="preserve">: prospects for </w:t>
      </w:r>
      <w:proofErr w:type="spellStart"/>
      <w:r w:rsidRPr="003A5ADE">
        <w:rPr>
          <w:sz w:val="28"/>
          <w:szCs w:val="28"/>
        </w:rPr>
        <w:t>molecular</w:t>
      </w:r>
      <w:proofErr w:type="spellEnd"/>
      <w:r w:rsidRPr="003A5ADE">
        <w:rPr>
          <w:sz w:val="28"/>
          <w:szCs w:val="28"/>
        </w:rPr>
        <w:t xml:space="preserve"> </w:t>
      </w:r>
      <w:proofErr w:type="spellStart"/>
      <w:r w:rsidRPr="003A5ADE">
        <w:rPr>
          <w:sz w:val="28"/>
          <w:szCs w:val="28"/>
        </w:rPr>
        <w:t>therapeutics</w:t>
      </w:r>
      <w:proofErr w:type="spellEnd"/>
      <w:r w:rsidRPr="003A5ADE">
        <w:rPr>
          <w:sz w:val="28"/>
          <w:szCs w:val="28"/>
        </w:rPr>
        <w:t xml:space="preserve">. </w:t>
      </w:r>
      <w:r w:rsidRPr="003A5ADE">
        <w:rPr>
          <w:rStyle w:val="Accentuation"/>
          <w:sz w:val="28"/>
          <w:szCs w:val="28"/>
        </w:rPr>
        <w:t xml:space="preserve">N </w:t>
      </w:r>
      <w:proofErr w:type="spellStart"/>
      <w:r w:rsidRPr="003A5ADE">
        <w:rPr>
          <w:rStyle w:val="Accentuation"/>
          <w:sz w:val="28"/>
          <w:szCs w:val="28"/>
        </w:rPr>
        <w:t>Engl</w:t>
      </w:r>
      <w:proofErr w:type="spellEnd"/>
      <w:r w:rsidRPr="003A5ADE">
        <w:rPr>
          <w:rStyle w:val="Accentuation"/>
          <w:sz w:val="28"/>
          <w:szCs w:val="28"/>
        </w:rPr>
        <w:t xml:space="preserve"> J Med.</w:t>
      </w:r>
      <w:r w:rsidRPr="003A5ADE">
        <w:rPr>
          <w:sz w:val="28"/>
          <w:szCs w:val="28"/>
        </w:rPr>
        <w:t xml:space="preserve"> 2016;375:256–65.</w:t>
      </w:r>
    </w:p>
    <w:p w:rsidR="003A5ADE" w:rsidRPr="003A5ADE" w:rsidRDefault="003A5ADE" w:rsidP="003A5ADE">
      <w:pPr>
        <w:pStyle w:val="NormalWeb"/>
        <w:numPr>
          <w:ilvl w:val="0"/>
          <w:numId w:val="4"/>
        </w:numPr>
        <w:rPr>
          <w:sz w:val="28"/>
          <w:szCs w:val="28"/>
        </w:rPr>
      </w:pPr>
      <w:r w:rsidRPr="003A5ADE">
        <w:rPr>
          <w:sz w:val="28"/>
          <w:szCs w:val="28"/>
          <w:lang w:val="en-US"/>
        </w:rPr>
        <w:t xml:space="preserve">Timila D, et al. Holistic approach to management of an infant with severe osteogenesis imperfecta in the NICU. </w:t>
      </w:r>
      <w:r w:rsidRPr="003A5ADE">
        <w:rPr>
          <w:rStyle w:val="Accentuation"/>
          <w:sz w:val="28"/>
          <w:szCs w:val="28"/>
        </w:rPr>
        <w:t xml:space="preserve">Front </w:t>
      </w:r>
      <w:proofErr w:type="spellStart"/>
      <w:r w:rsidRPr="003A5ADE">
        <w:rPr>
          <w:rStyle w:val="Accentuation"/>
          <w:sz w:val="28"/>
          <w:szCs w:val="28"/>
        </w:rPr>
        <w:t>Pediatr</w:t>
      </w:r>
      <w:proofErr w:type="spellEnd"/>
      <w:r w:rsidRPr="003A5ADE">
        <w:rPr>
          <w:rStyle w:val="Accentuation"/>
          <w:sz w:val="28"/>
          <w:szCs w:val="28"/>
        </w:rPr>
        <w:t>.</w:t>
      </w:r>
      <w:r w:rsidRPr="003A5ADE">
        <w:rPr>
          <w:sz w:val="28"/>
          <w:szCs w:val="28"/>
        </w:rPr>
        <w:t xml:space="preserve"> 2025;13:1438124.</w:t>
      </w:r>
    </w:p>
    <w:p w:rsidR="003A5ADE" w:rsidRPr="003A5ADE" w:rsidRDefault="003A5ADE" w:rsidP="003A5ADE">
      <w:pPr>
        <w:pStyle w:val="NormalWeb"/>
        <w:numPr>
          <w:ilvl w:val="0"/>
          <w:numId w:val="4"/>
        </w:numPr>
        <w:rPr>
          <w:sz w:val="28"/>
          <w:szCs w:val="28"/>
        </w:rPr>
      </w:pPr>
      <w:r w:rsidRPr="003A5ADE">
        <w:rPr>
          <w:sz w:val="28"/>
          <w:szCs w:val="28"/>
          <w:lang w:val="en-US"/>
        </w:rPr>
        <w:t xml:space="preserve">Peláez Chomba MS, et al. A prenatal diagnosis of osteogenesis imperfecta in a low-resource setting. </w:t>
      </w:r>
      <w:r w:rsidRPr="003A5ADE">
        <w:rPr>
          <w:rStyle w:val="Accentuation"/>
          <w:sz w:val="28"/>
          <w:szCs w:val="28"/>
          <w:lang w:val="en-US"/>
        </w:rPr>
        <w:t>F1000Research.</w:t>
      </w:r>
      <w:r w:rsidRPr="003A5ADE">
        <w:rPr>
          <w:sz w:val="28"/>
          <w:szCs w:val="28"/>
          <w:lang w:val="en-US"/>
        </w:rPr>
        <w:t xml:space="preserve"> </w:t>
      </w:r>
      <w:r w:rsidRPr="003A5ADE">
        <w:rPr>
          <w:sz w:val="28"/>
          <w:szCs w:val="28"/>
        </w:rPr>
        <w:t>2023;12:603.</w:t>
      </w:r>
    </w:p>
    <w:p w:rsidR="003A5ADE" w:rsidRPr="003A5ADE" w:rsidRDefault="003A5ADE" w:rsidP="003A5ADE">
      <w:pPr>
        <w:pStyle w:val="NormalWeb"/>
        <w:numPr>
          <w:ilvl w:val="0"/>
          <w:numId w:val="4"/>
        </w:numPr>
        <w:rPr>
          <w:sz w:val="28"/>
          <w:szCs w:val="28"/>
        </w:rPr>
      </w:pPr>
      <w:r w:rsidRPr="003A5ADE">
        <w:rPr>
          <w:sz w:val="28"/>
          <w:szCs w:val="28"/>
          <w:lang w:val="en-US"/>
        </w:rPr>
        <w:t xml:space="preserve">Vankevičienė K, et al. A sporadic case of COL1A1 osteogenesis imperfecta. </w:t>
      </w:r>
      <w:proofErr w:type="spellStart"/>
      <w:r w:rsidRPr="003A5ADE">
        <w:rPr>
          <w:rStyle w:val="Accentuation"/>
          <w:sz w:val="28"/>
          <w:szCs w:val="28"/>
        </w:rPr>
        <w:t>Genes</w:t>
      </w:r>
      <w:proofErr w:type="spellEnd"/>
      <w:r w:rsidRPr="003A5ADE">
        <w:rPr>
          <w:rStyle w:val="Accentuation"/>
          <w:sz w:val="28"/>
          <w:szCs w:val="28"/>
        </w:rPr>
        <w:t>.</w:t>
      </w:r>
      <w:r w:rsidRPr="003A5ADE">
        <w:rPr>
          <w:sz w:val="28"/>
          <w:szCs w:val="28"/>
        </w:rPr>
        <w:t xml:space="preserve"> 2023;14(11):2062.</w:t>
      </w:r>
    </w:p>
    <w:p w:rsidR="003A5ADE" w:rsidRPr="003A5ADE" w:rsidRDefault="003A5ADE" w:rsidP="003A5ADE">
      <w:pPr>
        <w:pStyle w:val="NormalWeb"/>
        <w:numPr>
          <w:ilvl w:val="0"/>
          <w:numId w:val="4"/>
        </w:numPr>
        <w:rPr>
          <w:sz w:val="28"/>
          <w:szCs w:val="28"/>
        </w:rPr>
      </w:pPr>
      <w:r w:rsidRPr="003A5ADE">
        <w:rPr>
          <w:sz w:val="28"/>
          <w:szCs w:val="28"/>
          <w:lang w:val="en-US"/>
        </w:rPr>
        <w:t xml:space="preserve">Carroll RS, et al. Most infants with prenatal OI diagnosis survive to discharge. </w:t>
      </w:r>
      <w:r w:rsidRPr="003A5ADE">
        <w:rPr>
          <w:rStyle w:val="Accentuation"/>
          <w:sz w:val="28"/>
          <w:szCs w:val="28"/>
        </w:rPr>
        <w:t>JBMR Plus.</w:t>
      </w:r>
      <w:r w:rsidRPr="003A5ADE">
        <w:rPr>
          <w:sz w:val="28"/>
          <w:szCs w:val="28"/>
        </w:rPr>
        <w:t xml:space="preserve"> 2025;9(4):ziaf022.</w:t>
      </w:r>
    </w:p>
    <w:p w:rsidR="003A5ADE" w:rsidRPr="003A5ADE" w:rsidRDefault="003A5ADE" w:rsidP="003A5ADE">
      <w:pPr>
        <w:pStyle w:val="NormalWeb"/>
        <w:numPr>
          <w:ilvl w:val="0"/>
          <w:numId w:val="4"/>
        </w:numPr>
        <w:rPr>
          <w:sz w:val="28"/>
          <w:szCs w:val="28"/>
        </w:rPr>
      </w:pPr>
      <w:r w:rsidRPr="003A5ADE">
        <w:rPr>
          <w:sz w:val="28"/>
          <w:szCs w:val="28"/>
          <w:lang w:val="en-US"/>
        </w:rPr>
        <w:t xml:space="preserve">Glorieux FH, et al. Cyclic administration of pamidronate in children with severe osteogenesis imperfecta. </w:t>
      </w:r>
      <w:r w:rsidRPr="003A5ADE">
        <w:rPr>
          <w:rStyle w:val="Accentuation"/>
          <w:sz w:val="28"/>
          <w:szCs w:val="28"/>
        </w:rPr>
        <w:t xml:space="preserve">N </w:t>
      </w:r>
      <w:proofErr w:type="spellStart"/>
      <w:r w:rsidRPr="003A5ADE">
        <w:rPr>
          <w:rStyle w:val="Accentuation"/>
          <w:sz w:val="28"/>
          <w:szCs w:val="28"/>
        </w:rPr>
        <w:t>Engl</w:t>
      </w:r>
      <w:proofErr w:type="spellEnd"/>
      <w:r w:rsidRPr="003A5ADE">
        <w:rPr>
          <w:rStyle w:val="Accentuation"/>
          <w:sz w:val="28"/>
          <w:szCs w:val="28"/>
        </w:rPr>
        <w:t xml:space="preserve"> J Med.</w:t>
      </w:r>
      <w:r w:rsidRPr="003A5ADE">
        <w:rPr>
          <w:sz w:val="28"/>
          <w:szCs w:val="28"/>
        </w:rPr>
        <w:t xml:space="preserve"> 1998;339:947–52.</w:t>
      </w:r>
    </w:p>
    <w:p w:rsidR="003A5ADE" w:rsidRPr="003A5ADE" w:rsidRDefault="003A5ADE" w:rsidP="003A5ADE">
      <w:pPr>
        <w:pStyle w:val="NormalWeb"/>
        <w:numPr>
          <w:ilvl w:val="0"/>
          <w:numId w:val="4"/>
        </w:numPr>
        <w:rPr>
          <w:sz w:val="28"/>
          <w:szCs w:val="28"/>
        </w:rPr>
      </w:pPr>
      <w:r w:rsidRPr="003A5ADE">
        <w:rPr>
          <w:sz w:val="28"/>
          <w:szCs w:val="28"/>
          <w:lang w:val="en-US"/>
        </w:rPr>
        <w:t xml:space="preserve">Arundel P, et al. Early life management of osteogenesis imperfecta. </w:t>
      </w:r>
      <w:proofErr w:type="spellStart"/>
      <w:r w:rsidRPr="003A5ADE">
        <w:rPr>
          <w:rStyle w:val="Accentuation"/>
          <w:sz w:val="28"/>
          <w:szCs w:val="28"/>
        </w:rPr>
        <w:t>Curr</w:t>
      </w:r>
      <w:proofErr w:type="spellEnd"/>
      <w:r w:rsidRPr="003A5ADE">
        <w:rPr>
          <w:rStyle w:val="Accentuation"/>
          <w:sz w:val="28"/>
          <w:szCs w:val="28"/>
        </w:rPr>
        <w:t xml:space="preserve"> </w:t>
      </w:r>
      <w:proofErr w:type="spellStart"/>
      <w:r w:rsidRPr="003A5ADE">
        <w:rPr>
          <w:rStyle w:val="Accentuation"/>
          <w:sz w:val="28"/>
          <w:szCs w:val="28"/>
        </w:rPr>
        <w:t>Osteoporos</w:t>
      </w:r>
      <w:proofErr w:type="spellEnd"/>
      <w:r w:rsidRPr="003A5ADE">
        <w:rPr>
          <w:rStyle w:val="Accentuation"/>
          <w:sz w:val="28"/>
          <w:szCs w:val="28"/>
        </w:rPr>
        <w:t xml:space="preserve"> </w:t>
      </w:r>
      <w:proofErr w:type="spellStart"/>
      <w:r w:rsidRPr="003A5ADE">
        <w:rPr>
          <w:rStyle w:val="Accentuation"/>
          <w:sz w:val="28"/>
          <w:szCs w:val="28"/>
        </w:rPr>
        <w:t>Rep</w:t>
      </w:r>
      <w:proofErr w:type="spellEnd"/>
      <w:r w:rsidRPr="003A5ADE">
        <w:rPr>
          <w:rStyle w:val="Accentuation"/>
          <w:sz w:val="28"/>
          <w:szCs w:val="28"/>
        </w:rPr>
        <w:t>.</w:t>
      </w:r>
      <w:r w:rsidRPr="003A5ADE">
        <w:rPr>
          <w:sz w:val="28"/>
          <w:szCs w:val="28"/>
        </w:rPr>
        <w:t xml:space="preserve"> 2023;21:189–202.</w:t>
      </w:r>
    </w:p>
    <w:p w:rsidR="003A5ADE" w:rsidRPr="003A5ADE" w:rsidRDefault="003A5ADE" w:rsidP="003A5ADE">
      <w:pPr>
        <w:pStyle w:val="NormalWeb"/>
        <w:numPr>
          <w:ilvl w:val="0"/>
          <w:numId w:val="4"/>
        </w:numPr>
        <w:rPr>
          <w:sz w:val="28"/>
          <w:szCs w:val="28"/>
        </w:rPr>
      </w:pPr>
      <w:r w:rsidRPr="003A5ADE">
        <w:rPr>
          <w:sz w:val="28"/>
          <w:szCs w:val="28"/>
          <w:lang w:val="en-US"/>
        </w:rPr>
        <w:t xml:space="preserve">Dwan K, Phillipi CA, Steiner RD. New and emerging therapies in osteogenesis imperfecta. </w:t>
      </w:r>
      <w:r w:rsidRPr="003A5ADE">
        <w:rPr>
          <w:rStyle w:val="Accentuation"/>
          <w:sz w:val="28"/>
          <w:szCs w:val="28"/>
        </w:rPr>
        <w:t xml:space="preserve">Front </w:t>
      </w:r>
      <w:proofErr w:type="spellStart"/>
      <w:r w:rsidRPr="003A5ADE">
        <w:rPr>
          <w:rStyle w:val="Accentuation"/>
          <w:sz w:val="28"/>
          <w:szCs w:val="28"/>
        </w:rPr>
        <w:t>Endocrinol</w:t>
      </w:r>
      <w:proofErr w:type="spellEnd"/>
      <w:r w:rsidRPr="003A5ADE">
        <w:rPr>
          <w:rStyle w:val="Accentuation"/>
          <w:sz w:val="28"/>
          <w:szCs w:val="28"/>
        </w:rPr>
        <w:t xml:space="preserve"> (Lausanne).</w:t>
      </w:r>
      <w:r w:rsidRPr="003A5ADE">
        <w:rPr>
          <w:sz w:val="28"/>
          <w:szCs w:val="28"/>
        </w:rPr>
        <w:t xml:space="preserve"> 2023;14:1123345</w:t>
      </w:r>
    </w:p>
    <w:p w:rsidR="008E0625" w:rsidRPr="008E0625" w:rsidRDefault="008E0625" w:rsidP="008E0625">
      <w:pPr>
        <w:ind w:left="360"/>
        <w:rPr>
          <w:rFonts w:cstheme="minorBidi"/>
        </w:rPr>
      </w:pPr>
    </w:p>
    <w:p w:rsidR="005C382A" w:rsidRPr="004F6556" w:rsidRDefault="005C382A" w:rsidP="004F6556">
      <w:pPr>
        <w:pStyle w:val="Paragraphedeliste"/>
        <w:rPr>
          <w:lang w:val="fr-FR"/>
        </w:rPr>
      </w:pPr>
    </w:p>
    <w:sectPr w:rsidR="005C382A" w:rsidRPr="004F655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7275B" w:rsidRDefault="0007275B" w:rsidP="001E3066">
      <w:r>
        <w:separator/>
      </w:r>
    </w:p>
  </w:endnote>
  <w:endnote w:type="continuationSeparator" w:id="0">
    <w:p w:rsidR="0007275B" w:rsidRDefault="0007275B" w:rsidP="001E30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eciliaLTStd">
    <w:altName w:val="Cambria"/>
    <w:panose1 w:val="020B0604020202020204"/>
    <w:charset w:val="00"/>
    <w:family w:val="roman"/>
    <w:notTrueType/>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7275B" w:rsidRDefault="0007275B" w:rsidP="001E3066">
      <w:r>
        <w:separator/>
      </w:r>
    </w:p>
  </w:footnote>
  <w:footnote w:type="continuationSeparator" w:id="0">
    <w:p w:rsidR="0007275B" w:rsidRDefault="0007275B" w:rsidP="001E306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9333BD"/>
    <w:multiLevelType w:val="multilevel"/>
    <w:tmpl w:val="442254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0976E7D"/>
    <w:multiLevelType w:val="hybridMultilevel"/>
    <w:tmpl w:val="DD5C8CB0"/>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15:restartNumberingAfterBreak="0">
    <w:nsid w:val="34B65750"/>
    <w:multiLevelType w:val="multilevel"/>
    <w:tmpl w:val="442254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5A0945B8"/>
    <w:multiLevelType w:val="hybridMultilevel"/>
    <w:tmpl w:val="4B4892E6"/>
    <w:lvl w:ilvl="0" w:tplc="040C0001">
      <w:numFmt w:val="bullet"/>
      <w:lvlText w:val=""/>
      <w:lvlJc w:val="left"/>
      <w:pPr>
        <w:ind w:left="720" w:hanging="360"/>
      </w:pPr>
      <w:rPr>
        <w:rFonts w:ascii="Symbol" w:eastAsia="Times New Roman" w:hAnsi="Symbol"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6CE439A8"/>
    <w:multiLevelType w:val="multilevel"/>
    <w:tmpl w:val="442254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2"/>
  </w:num>
  <w:num w:numId="3">
    <w:abstractNumId w:val="4"/>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6091"/>
    <w:rsid w:val="0007275B"/>
    <w:rsid w:val="00074177"/>
    <w:rsid w:val="00085131"/>
    <w:rsid w:val="00096F18"/>
    <w:rsid w:val="000D6BCA"/>
    <w:rsid w:val="000F7641"/>
    <w:rsid w:val="00146D84"/>
    <w:rsid w:val="00150CC1"/>
    <w:rsid w:val="00155174"/>
    <w:rsid w:val="001871AD"/>
    <w:rsid w:val="001A7336"/>
    <w:rsid w:val="001E3066"/>
    <w:rsid w:val="003836C5"/>
    <w:rsid w:val="003A5ADE"/>
    <w:rsid w:val="003B5357"/>
    <w:rsid w:val="00456CEA"/>
    <w:rsid w:val="004F6556"/>
    <w:rsid w:val="00526091"/>
    <w:rsid w:val="005C382A"/>
    <w:rsid w:val="00600315"/>
    <w:rsid w:val="006E2D42"/>
    <w:rsid w:val="008E0625"/>
    <w:rsid w:val="00910AC1"/>
    <w:rsid w:val="009C36FE"/>
    <w:rsid w:val="00A17911"/>
    <w:rsid w:val="00A43BF0"/>
    <w:rsid w:val="00A51BBD"/>
    <w:rsid w:val="00AB6AEC"/>
    <w:rsid w:val="00AC3A18"/>
    <w:rsid w:val="00B077F0"/>
    <w:rsid w:val="00BE2FFD"/>
    <w:rsid w:val="00C378B8"/>
    <w:rsid w:val="00CA2682"/>
    <w:rsid w:val="00CF7B50"/>
    <w:rsid w:val="00D41F5F"/>
    <w:rsid w:val="00D608A0"/>
    <w:rsid w:val="00D94EAF"/>
    <w:rsid w:val="00DB29E2"/>
    <w:rsid w:val="00E1588B"/>
    <w:rsid w:val="00E81E90"/>
    <w:rsid w:val="00EE77B0"/>
    <w:rsid w:val="00F14001"/>
    <w:rsid w:val="00F172AE"/>
    <w:rsid w:val="00F20057"/>
    <w:rsid w:val="00F853D6"/>
    <w:rsid w:val="00F96748"/>
    <w:rsid w:val="00FA0AC8"/>
    <w:rsid w:val="00FA25EF"/>
  </w:rsids>
  <m:mathPr>
    <m:mathFont m:val="Cambria Math"/>
    <m:brkBin m:val="before"/>
    <m:brkBinSub m:val="--"/>
    <m:smallFrac m:val="0"/>
    <m:dispDef/>
    <m:lMargin m:val="0"/>
    <m:rMargin m:val="0"/>
    <m:defJc m:val="centerGroup"/>
    <m:wrapIndent m:val="1440"/>
    <m:intLim m:val="subSup"/>
    <m:naryLim m:val="undOvr"/>
  </m:mathPr>
  <w:themeFontLang w:val="fr-MA"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4A0758"/>
  <w15:chartTrackingRefBased/>
  <w15:docId w15:val="{2CD7BF29-55C7-EB42-B48D-BD1B7D403D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kern w:val="2"/>
        <w:sz w:val="24"/>
        <w:szCs w:val="24"/>
        <w:lang w:val="fr-MA" w:eastAsia="en-US" w:bidi="ar-SA"/>
        <w14:ligatures w14:val="standardContextual"/>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E0625"/>
    <w:rPr>
      <w:rFonts w:ascii="Times New Roman" w:eastAsia="Times New Roman" w:hAnsi="Times New Roman" w:cs="Times New Roman"/>
      <w:kern w:val="0"/>
      <w:lang w:eastAsia="fr-FR"/>
      <w14:ligatures w14:val="none"/>
    </w:rPr>
  </w:style>
  <w:style w:type="paragraph" w:styleId="Titre1">
    <w:name w:val="heading 1"/>
    <w:basedOn w:val="Normal"/>
    <w:next w:val="Normal"/>
    <w:link w:val="Titre1Car"/>
    <w:uiPriority w:val="9"/>
    <w:qFormat/>
    <w:rsid w:val="00C378B8"/>
    <w:pPr>
      <w:keepNext/>
      <w:keepLines/>
      <w:spacing w:before="480" w:line="276" w:lineRule="auto"/>
      <w:outlineLvl w:val="0"/>
    </w:pPr>
    <w:rPr>
      <w:rFonts w:asciiTheme="majorHAnsi" w:eastAsiaTheme="majorEastAsia" w:hAnsiTheme="majorHAnsi" w:cstheme="majorBidi"/>
      <w:b/>
      <w:bCs/>
      <w:color w:val="2F5496" w:themeColor="accent1" w:themeShade="BF"/>
      <w:sz w:val="28"/>
      <w:szCs w:val="28"/>
      <w:lang w:val="en-US"/>
    </w:rPr>
  </w:style>
  <w:style w:type="paragraph" w:styleId="Titre2">
    <w:name w:val="heading 2"/>
    <w:basedOn w:val="Normal"/>
    <w:next w:val="Normal"/>
    <w:link w:val="Titre2Car"/>
    <w:uiPriority w:val="9"/>
    <w:unhideWhenUsed/>
    <w:qFormat/>
    <w:rsid w:val="00C378B8"/>
    <w:pPr>
      <w:keepNext/>
      <w:keepLines/>
      <w:spacing w:before="200" w:line="276" w:lineRule="auto"/>
      <w:outlineLvl w:val="1"/>
    </w:pPr>
    <w:rPr>
      <w:rFonts w:asciiTheme="majorHAnsi" w:eastAsiaTheme="majorEastAsia" w:hAnsiTheme="majorHAnsi" w:cstheme="majorBidi"/>
      <w:b/>
      <w:bCs/>
      <w:color w:val="4472C4" w:themeColor="accent1"/>
      <w:sz w:val="26"/>
      <w:szCs w:val="26"/>
      <w:lang w:val="en-US"/>
    </w:rPr>
  </w:style>
  <w:style w:type="paragraph" w:styleId="Titre3">
    <w:name w:val="heading 3"/>
    <w:basedOn w:val="Normal"/>
    <w:next w:val="Normal"/>
    <w:link w:val="Titre3Car"/>
    <w:uiPriority w:val="9"/>
    <w:semiHidden/>
    <w:unhideWhenUsed/>
    <w:qFormat/>
    <w:rsid w:val="003B5357"/>
    <w:pPr>
      <w:keepNext/>
      <w:keepLines/>
      <w:spacing w:before="40"/>
      <w:outlineLvl w:val="2"/>
    </w:pPr>
    <w:rPr>
      <w:rFonts w:asciiTheme="majorHAnsi" w:eastAsiaTheme="majorEastAsia" w:hAnsiTheme="majorHAnsi" w:cstheme="majorBidi"/>
      <w:color w:val="1F3763" w:themeColor="accent1" w:themeShade="7F"/>
    </w:rPr>
  </w:style>
  <w:style w:type="paragraph" w:styleId="Titre5">
    <w:name w:val="heading 5"/>
    <w:basedOn w:val="Normal"/>
    <w:next w:val="Normal"/>
    <w:link w:val="Titre5Car"/>
    <w:uiPriority w:val="9"/>
    <w:semiHidden/>
    <w:unhideWhenUsed/>
    <w:qFormat/>
    <w:rsid w:val="003A5ADE"/>
    <w:pPr>
      <w:keepNext/>
      <w:keepLines/>
      <w:spacing w:before="40"/>
      <w:outlineLvl w:val="4"/>
    </w:pPr>
    <w:rPr>
      <w:rFonts w:asciiTheme="majorHAnsi" w:eastAsiaTheme="majorEastAsia" w:hAnsiTheme="majorHAnsi" w:cstheme="majorBidi"/>
      <w:color w:val="2F5496" w:themeColor="accent1" w:themeShade="BF"/>
    </w:rPr>
  </w:style>
  <w:style w:type="paragraph" w:styleId="Titre6">
    <w:name w:val="heading 6"/>
    <w:basedOn w:val="Normal"/>
    <w:next w:val="Normal"/>
    <w:link w:val="Titre6Car"/>
    <w:uiPriority w:val="9"/>
    <w:semiHidden/>
    <w:unhideWhenUsed/>
    <w:qFormat/>
    <w:rsid w:val="003A5ADE"/>
    <w:pPr>
      <w:keepNext/>
      <w:keepLines/>
      <w:spacing w:before="40"/>
      <w:outlineLvl w:val="5"/>
    </w:pPr>
    <w:rPr>
      <w:rFonts w:asciiTheme="majorHAnsi" w:eastAsiaTheme="majorEastAsia" w:hAnsiTheme="majorHAnsi" w:cstheme="majorBidi"/>
      <w:color w:val="1F3763" w:themeColor="accent1" w:themeShade="7F"/>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unhideWhenUsed/>
    <w:rsid w:val="00526091"/>
    <w:pPr>
      <w:spacing w:before="100" w:beforeAutospacing="1" w:after="100" w:afterAutospacing="1"/>
    </w:pPr>
  </w:style>
  <w:style w:type="character" w:styleId="lev">
    <w:name w:val="Strong"/>
    <w:basedOn w:val="Policepardfaut"/>
    <w:uiPriority w:val="22"/>
    <w:qFormat/>
    <w:rsid w:val="00526091"/>
    <w:rPr>
      <w:b/>
      <w:bCs/>
    </w:rPr>
  </w:style>
  <w:style w:type="paragraph" w:styleId="En-tte">
    <w:name w:val="header"/>
    <w:basedOn w:val="Normal"/>
    <w:link w:val="En-tteCar"/>
    <w:uiPriority w:val="99"/>
    <w:unhideWhenUsed/>
    <w:rsid w:val="001E3066"/>
    <w:pPr>
      <w:tabs>
        <w:tab w:val="center" w:pos="4536"/>
        <w:tab w:val="right" w:pos="9072"/>
      </w:tabs>
    </w:pPr>
  </w:style>
  <w:style w:type="character" w:customStyle="1" w:styleId="En-tteCar">
    <w:name w:val="En-tête Car"/>
    <w:basedOn w:val="Policepardfaut"/>
    <w:link w:val="En-tte"/>
    <w:uiPriority w:val="99"/>
    <w:rsid w:val="001E3066"/>
    <w:rPr>
      <w:lang w:val="fr-FR"/>
    </w:rPr>
  </w:style>
  <w:style w:type="paragraph" w:styleId="Pieddepage">
    <w:name w:val="footer"/>
    <w:basedOn w:val="Normal"/>
    <w:link w:val="PieddepageCar"/>
    <w:uiPriority w:val="99"/>
    <w:unhideWhenUsed/>
    <w:rsid w:val="001E3066"/>
    <w:pPr>
      <w:tabs>
        <w:tab w:val="center" w:pos="4536"/>
        <w:tab w:val="right" w:pos="9072"/>
      </w:tabs>
    </w:pPr>
  </w:style>
  <w:style w:type="character" w:customStyle="1" w:styleId="PieddepageCar">
    <w:name w:val="Pied de page Car"/>
    <w:basedOn w:val="Policepardfaut"/>
    <w:link w:val="Pieddepage"/>
    <w:uiPriority w:val="99"/>
    <w:rsid w:val="001E3066"/>
    <w:rPr>
      <w:lang w:val="fr-FR"/>
    </w:rPr>
  </w:style>
  <w:style w:type="character" w:customStyle="1" w:styleId="Titre1Car">
    <w:name w:val="Titre 1 Car"/>
    <w:basedOn w:val="Policepardfaut"/>
    <w:link w:val="Titre1"/>
    <w:uiPriority w:val="9"/>
    <w:rsid w:val="00C378B8"/>
    <w:rPr>
      <w:rFonts w:asciiTheme="majorHAnsi" w:eastAsiaTheme="majorEastAsia" w:hAnsiTheme="majorHAnsi" w:cstheme="majorBidi"/>
      <w:b/>
      <w:bCs/>
      <w:color w:val="2F5496" w:themeColor="accent1" w:themeShade="BF"/>
      <w:kern w:val="0"/>
      <w:sz w:val="28"/>
      <w:szCs w:val="28"/>
      <w:lang w:val="en-US"/>
      <w14:ligatures w14:val="none"/>
    </w:rPr>
  </w:style>
  <w:style w:type="character" w:customStyle="1" w:styleId="Titre2Car">
    <w:name w:val="Titre 2 Car"/>
    <w:basedOn w:val="Policepardfaut"/>
    <w:link w:val="Titre2"/>
    <w:uiPriority w:val="9"/>
    <w:rsid w:val="00C378B8"/>
    <w:rPr>
      <w:rFonts w:asciiTheme="majorHAnsi" w:eastAsiaTheme="majorEastAsia" w:hAnsiTheme="majorHAnsi" w:cstheme="majorBidi"/>
      <w:b/>
      <w:bCs/>
      <w:color w:val="4472C4" w:themeColor="accent1"/>
      <w:kern w:val="0"/>
      <w:sz w:val="26"/>
      <w:szCs w:val="26"/>
      <w:lang w:val="en-US"/>
      <w14:ligatures w14:val="none"/>
    </w:rPr>
  </w:style>
  <w:style w:type="paragraph" w:styleId="Paragraphedeliste">
    <w:name w:val="List Paragraph"/>
    <w:basedOn w:val="Normal"/>
    <w:uiPriority w:val="34"/>
    <w:qFormat/>
    <w:rsid w:val="004F6556"/>
    <w:pPr>
      <w:ind w:left="720"/>
      <w:contextualSpacing/>
    </w:pPr>
  </w:style>
  <w:style w:type="character" w:customStyle="1" w:styleId="Titre3Car">
    <w:name w:val="Titre 3 Car"/>
    <w:basedOn w:val="Policepardfaut"/>
    <w:link w:val="Titre3"/>
    <w:uiPriority w:val="9"/>
    <w:semiHidden/>
    <w:rsid w:val="003B5357"/>
    <w:rPr>
      <w:rFonts w:asciiTheme="majorHAnsi" w:eastAsiaTheme="majorEastAsia" w:hAnsiTheme="majorHAnsi" w:cstheme="majorBidi"/>
      <w:color w:val="1F3763" w:themeColor="accent1" w:themeShade="7F"/>
      <w:kern w:val="0"/>
      <w:lang w:eastAsia="fr-FR"/>
      <w14:ligatures w14:val="none"/>
    </w:rPr>
  </w:style>
  <w:style w:type="character" w:styleId="Accentuation">
    <w:name w:val="Emphasis"/>
    <w:basedOn w:val="Policepardfaut"/>
    <w:uiPriority w:val="20"/>
    <w:qFormat/>
    <w:rsid w:val="003B5357"/>
    <w:rPr>
      <w:i/>
      <w:iCs/>
    </w:rPr>
  </w:style>
  <w:style w:type="character" w:customStyle="1" w:styleId="Titre5Car">
    <w:name w:val="Titre 5 Car"/>
    <w:basedOn w:val="Policepardfaut"/>
    <w:link w:val="Titre5"/>
    <w:uiPriority w:val="9"/>
    <w:semiHidden/>
    <w:rsid w:val="003A5ADE"/>
    <w:rPr>
      <w:rFonts w:asciiTheme="majorHAnsi" w:eastAsiaTheme="majorEastAsia" w:hAnsiTheme="majorHAnsi" w:cstheme="majorBidi"/>
      <w:color w:val="2F5496" w:themeColor="accent1" w:themeShade="BF"/>
      <w:kern w:val="0"/>
      <w:lang w:eastAsia="fr-FR"/>
      <w14:ligatures w14:val="none"/>
    </w:rPr>
  </w:style>
  <w:style w:type="character" w:customStyle="1" w:styleId="Titre6Car">
    <w:name w:val="Titre 6 Car"/>
    <w:basedOn w:val="Policepardfaut"/>
    <w:link w:val="Titre6"/>
    <w:uiPriority w:val="9"/>
    <w:semiHidden/>
    <w:rsid w:val="003A5ADE"/>
    <w:rPr>
      <w:rFonts w:asciiTheme="majorHAnsi" w:eastAsiaTheme="majorEastAsia" w:hAnsiTheme="majorHAnsi" w:cstheme="majorBidi"/>
      <w:color w:val="1F3763" w:themeColor="accent1" w:themeShade="7F"/>
      <w:kern w:val="0"/>
      <w:lang w:eastAsia="fr-FR"/>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621329">
      <w:bodyDiv w:val="1"/>
      <w:marLeft w:val="0"/>
      <w:marRight w:val="0"/>
      <w:marTop w:val="0"/>
      <w:marBottom w:val="0"/>
      <w:divBdr>
        <w:top w:val="none" w:sz="0" w:space="0" w:color="auto"/>
        <w:left w:val="none" w:sz="0" w:space="0" w:color="auto"/>
        <w:bottom w:val="none" w:sz="0" w:space="0" w:color="auto"/>
        <w:right w:val="none" w:sz="0" w:space="0" w:color="auto"/>
      </w:divBdr>
      <w:divsChild>
        <w:div w:id="1993026225">
          <w:marLeft w:val="0"/>
          <w:marRight w:val="0"/>
          <w:marTop w:val="0"/>
          <w:marBottom w:val="0"/>
          <w:divBdr>
            <w:top w:val="none" w:sz="0" w:space="0" w:color="auto"/>
            <w:left w:val="none" w:sz="0" w:space="0" w:color="auto"/>
            <w:bottom w:val="none" w:sz="0" w:space="0" w:color="auto"/>
            <w:right w:val="none" w:sz="0" w:space="0" w:color="auto"/>
          </w:divBdr>
          <w:divsChild>
            <w:div w:id="2013022253">
              <w:marLeft w:val="0"/>
              <w:marRight w:val="0"/>
              <w:marTop w:val="0"/>
              <w:marBottom w:val="0"/>
              <w:divBdr>
                <w:top w:val="none" w:sz="0" w:space="0" w:color="auto"/>
                <w:left w:val="none" w:sz="0" w:space="0" w:color="auto"/>
                <w:bottom w:val="none" w:sz="0" w:space="0" w:color="auto"/>
                <w:right w:val="none" w:sz="0" w:space="0" w:color="auto"/>
              </w:divBdr>
              <w:divsChild>
                <w:div w:id="169179351">
                  <w:marLeft w:val="0"/>
                  <w:marRight w:val="0"/>
                  <w:marTop w:val="0"/>
                  <w:marBottom w:val="0"/>
                  <w:divBdr>
                    <w:top w:val="none" w:sz="0" w:space="0" w:color="auto"/>
                    <w:left w:val="none" w:sz="0" w:space="0" w:color="auto"/>
                    <w:bottom w:val="none" w:sz="0" w:space="0" w:color="auto"/>
                    <w:right w:val="none" w:sz="0" w:space="0" w:color="auto"/>
                  </w:divBdr>
                  <w:divsChild>
                    <w:div w:id="556432363">
                      <w:marLeft w:val="0"/>
                      <w:marRight w:val="0"/>
                      <w:marTop w:val="0"/>
                      <w:marBottom w:val="0"/>
                      <w:divBdr>
                        <w:top w:val="none" w:sz="0" w:space="0" w:color="auto"/>
                        <w:left w:val="none" w:sz="0" w:space="0" w:color="auto"/>
                        <w:bottom w:val="none" w:sz="0" w:space="0" w:color="auto"/>
                        <w:right w:val="none" w:sz="0" w:space="0" w:color="auto"/>
                      </w:divBdr>
                      <w:divsChild>
                        <w:div w:id="1178424553">
                          <w:marLeft w:val="0"/>
                          <w:marRight w:val="0"/>
                          <w:marTop w:val="0"/>
                          <w:marBottom w:val="0"/>
                          <w:divBdr>
                            <w:top w:val="none" w:sz="0" w:space="0" w:color="auto"/>
                            <w:left w:val="none" w:sz="0" w:space="0" w:color="auto"/>
                            <w:bottom w:val="none" w:sz="0" w:space="0" w:color="auto"/>
                            <w:right w:val="none" w:sz="0" w:space="0" w:color="auto"/>
                          </w:divBdr>
                          <w:divsChild>
                            <w:div w:id="1871918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27028916">
          <w:marLeft w:val="0"/>
          <w:marRight w:val="0"/>
          <w:marTop w:val="0"/>
          <w:marBottom w:val="0"/>
          <w:divBdr>
            <w:top w:val="none" w:sz="0" w:space="0" w:color="auto"/>
            <w:left w:val="none" w:sz="0" w:space="0" w:color="auto"/>
            <w:bottom w:val="none" w:sz="0" w:space="0" w:color="auto"/>
            <w:right w:val="none" w:sz="0" w:space="0" w:color="auto"/>
          </w:divBdr>
          <w:divsChild>
            <w:div w:id="396100017">
              <w:marLeft w:val="0"/>
              <w:marRight w:val="0"/>
              <w:marTop w:val="0"/>
              <w:marBottom w:val="0"/>
              <w:divBdr>
                <w:top w:val="none" w:sz="0" w:space="0" w:color="auto"/>
                <w:left w:val="none" w:sz="0" w:space="0" w:color="auto"/>
                <w:bottom w:val="none" w:sz="0" w:space="0" w:color="auto"/>
                <w:right w:val="none" w:sz="0" w:space="0" w:color="auto"/>
              </w:divBdr>
              <w:divsChild>
                <w:div w:id="1612474493">
                  <w:marLeft w:val="0"/>
                  <w:marRight w:val="0"/>
                  <w:marTop w:val="0"/>
                  <w:marBottom w:val="0"/>
                  <w:divBdr>
                    <w:top w:val="none" w:sz="0" w:space="0" w:color="auto"/>
                    <w:left w:val="none" w:sz="0" w:space="0" w:color="auto"/>
                    <w:bottom w:val="none" w:sz="0" w:space="0" w:color="auto"/>
                    <w:right w:val="none" w:sz="0" w:space="0" w:color="auto"/>
                  </w:divBdr>
                  <w:divsChild>
                    <w:div w:id="1675062465">
                      <w:marLeft w:val="0"/>
                      <w:marRight w:val="0"/>
                      <w:marTop w:val="0"/>
                      <w:marBottom w:val="0"/>
                      <w:divBdr>
                        <w:top w:val="none" w:sz="0" w:space="0" w:color="auto"/>
                        <w:left w:val="none" w:sz="0" w:space="0" w:color="auto"/>
                        <w:bottom w:val="none" w:sz="0" w:space="0" w:color="auto"/>
                        <w:right w:val="none" w:sz="0" w:space="0" w:color="auto"/>
                      </w:divBdr>
                      <w:divsChild>
                        <w:div w:id="1690134941">
                          <w:marLeft w:val="0"/>
                          <w:marRight w:val="0"/>
                          <w:marTop w:val="0"/>
                          <w:marBottom w:val="0"/>
                          <w:divBdr>
                            <w:top w:val="none" w:sz="0" w:space="0" w:color="auto"/>
                            <w:left w:val="none" w:sz="0" w:space="0" w:color="auto"/>
                            <w:bottom w:val="none" w:sz="0" w:space="0" w:color="auto"/>
                            <w:right w:val="none" w:sz="0" w:space="0" w:color="auto"/>
                          </w:divBdr>
                          <w:divsChild>
                            <w:div w:id="629286944">
                              <w:marLeft w:val="0"/>
                              <w:marRight w:val="0"/>
                              <w:marTop w:val="0"/>
                              <w:marBottom w:val="0"/>
                              <w:divBdr>
                                <w:top w:val="none" w:sz="0" w:space="0" w:color="auto"/>
                                <w:left w:val="none" w:sz="0" w:space="0" w:color="auto"/>
                                <w:bottom w:val="none" w:sz="0" w:space="0" w:color="auto"/>
                                <w:right w:val="none" w:sz="0" w:space="0" w:color="auto"/>
                              </w:divBdr>
                              <w:divsChild>
                                <w:div w:id="1374379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786922">
          <w:marLeft w:val="0"/>
          <w:marRight w:val="0"/>
          <w:marTop w:val="0"/>
          <w:marBottom w:val="0"/>
          <w:divBdr>
            <w:top w:val="none" w:sz="0" w:space="0" w:color="auto"/>
            <w:left w:val="none" w:sz="0" w:space="0" w:color="auto"/>
            <w:bottom w:val="none" w:sz="0" w:space="0" w:color="auto"/>
            <w:right w:val="none" w:sz="0" w:space="0" w:color="auto"/>
          </w:divBdr>
          <w:divsChild>
            <w:div w:id="1764644930">
              <w:marLeft w:val="0"/>
              <w:marRight w:val="0"/>
              <w:marTop w:val="0"/>
              <w:marBottom w:val="0"/>
              <w:divBdr>
                <w:top w:val="none" w:sz="0" w:space="0" w:color="auto"/>
                <w:left w:val="none" w:sz="0" w:space="0" w:color="auto"/>
                <w:bottom w:val="none" w:sz="0" w:space="0" w:color="auto"/>
                <w:right w:val="none" w:sz="0" w:space="0" w:color="auto"/>
              </w:divBdr>
              <w:divsChild>
                <w:div w:id="148254856">
                  <w:marLeft w:val="0"/>
                  <w:marRight w:val="0"/>
                  <w:marTop w:val="0"/>
                  <w:marBottom w:val="0"/>
                  <w:divBdr>
                    <w:top w:val="none" w:sz="0" w:space="0" w:color="auto"/>
                    <w:left w:val="none" w:sz="0" w:space="0" w:color="auto"/>
                    <w:bottom w:val="none" w:sz="0" w:space="0" w:color="auto"/>
                    <w:right w:val="none" w:sz="0" w:space="0" w:color="auto"/>
                  </w:divBdr>
                  <w:divsChild>
                    <w:div w:id="1967929488">
                      <w:marLeft w:val="0"/>
                      <w:marRight w:val="0"/>
                      <w:marTop w:val="0"/>
                      <w:marBottom w:val="0"/>
                      <w:divBdr>
                        <w:top w:val="none" w:sz="0" w:space="0" w:color="auto"/>
                        <w:left w:val="none" w:sz="0" w:space="0" w:color="auto"/>
                        <w:bottom w:val="none" w:sz="0" w:space="0" w:color="auto"/>
                        <w:right w:val="none" w:sz="0" w:space="0" w:color="auto"/>
                      </w:divBdr>
                      <w:divsChild>
                        <w:div w:id="503328057">
                          <w:marLeft w:val="0"/>
                          <w:marRight w:val="0"/>
                          <w:marTop w:val="0"/>
                          <w:marBottom w:val="0"/>
                          <w:divBdr>
                            <w:top w:val="none" w:sz="0" w:space="0" w:color="auto"/>
                            <w:left w:val="none" w:sz="0" w:space="0" w:color="auto"/>
                            <w:bottom w:val="none" w:sz="0" w:space="0" w:color="auto"/>
                            <w:right w:val="none" w:sz="0" w:space="0" w:color="auto"/>
                          </w:divBdr>
                          <w:divsChild>
                            <w:div w:id="402682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2593669">
      <w:bodyDiv w:val="1"/>
      <w:marLeft w:val="0"/>
      <w:marRight w:val="0"/>
      <w:marTop w:val="0"/>
      <w:marBottom w:val="0"/>
      <w:divBdr>
        <w:top w:val="none" w:sz="0" w:space="0" w:color="auto"/>
        <w:left w:val="none" w:sz="0" w:space="0" w:color="auto"/>
        <w:bottom w:val="none" w:sz="0" w:space="0" w:color="auto"/>
        <w:right w:val="none" w:sz="0" w:space="0" w:color="auto"/>
      </w:divBdr>
    </w:div>
    <w:div w:id="216429579">
      <w:bodyDiv w:val="1"/>
      <w:marLeft w:val="0"/>
      <w:marRight w:val="0"/>
      <w:marTop w:val="0"/>
      <w:marBottom w:val="0"/>
      <w:divBdr>
        <w:top w:val="none" w:sz="0" w:space="0" w:color="auto"/>
        <w:left w:val="none" w:sz="0" w:space="0" w:color="auto"/>
        <w:bottom w:val="none" w:sz="0" w:space="0" w:color="auto"/>
        <w:right w:val="none" w:sz="0" w:space="0" w:color="auto"/>
      </w:divBdr>
      <w:divsChild>
        <w:div w:id="1316490968">
          <w:marLeft w:val="0"/>
          <w:marRight w:val="0"/>
          <w:marTop w:val="0"/>
          <w:marBottom w:val="0"/>
          <w:divBdr>
            <w:top w:val="none" w:sz="0" w:space="0" w:color="auto"/>
            <w:left w:val="none" w:sz="0" w:space="0" w:color="auto"/>
            <w:bottom w:val="none" w:sz="0" w:space="0" w:color="auto"/>
            <w:right w:val="none" w:sz="0" w:space="0" w:color="auto"/>
          </w:divBdr>
          <w:divsChild>
            <w:div w:id="944579708">
              <w:marLeft w:val="0"/>
              <w:marRight w:val="0"/>
              <w:marTop w:val="0"/>
              <w:marBottom w:val="0"/>
              <w:divBdr>
                <w:top w:val="none" w:sz="0" w:space="0" w:color="auto"/>
                <w:left w:val="none" w:sz="0" w:space="0" w:color="auto"/>
                <w:bottom w:val="none" w:sz="0" w:space="0" w:color="auto"/>
                <w:right w:val="none" w:sz="0" w:space="0" w:color="auto"/>
              </w:divBdr>
              <w:divsChild>
                <w:div w:id="1472867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0888850">
      <w:bodyDiv w:val="1"/>
      <w:marLeft w:val="0"/>
      <w:marRight w:val="0"/>
      <w:marTop w:val="0"/>
      <w:marBottom w:val="0"/>
      <w:divBdr>
        <w:top w:val="none" w:sz="0" w:space="0" w:color="auto"/>
        <w:left w:val="none" w:sz="0" w:space="0" w:color="auto"/>
        <w:bottom w:val="none" w:sz="0" w:space="0" w:color="auto"/>
        <w:right w:val="none" w:sz="0" w:space="0" w:color="auto"/>
      </w:divBdr>
    </w:div>
    <w:div w:id="715858047">
      <w:bodyDiv w:val="1"/>
      <w:marLeft w:val="0"/>
      <w:marRight w:val="0"/>
      <w:marTop w:val="0"/>
      <w:marBottom w:val="0"/>
      <w:divBdr>
        <w:top w:val="none" w:sz="0" w:space="0" w:color="auto"/>
        <w:left w:val="none" w:sz="0" w:space="0" w:color="auto"/>
        <w:bottom w:val="none" w:sz="0" w:space="0" w:color="auto"/>
        <w:right w:val="none" w:sz="0" w:space="0" w:color="auto"/>
      </w:divBdr>
      <w:divsChild>
        <w:div w:id="1723479675">
          <w:marLeft w:val="0"/>
          <w:marRight w:val="0"/>
          <w:marTop w:val="0"/>
          <w:marBottom w:val="0"/>
          <w:divBdr>
            <w:top w:val="none" w:sz="0" w:space="0" w:color="auto"/>
            <w:left w:val="none" w:sz="0" w:space="0" w:color="auto"/>
            <w:bottom w:val="none" w:sz="0" w:space="0" w:color="auto"/>
            <w:right w:val="none" w:sz="0" w:space="0" w:color="auto"/>
          </w:divBdr>
          <w:divsChild>
            <w:div w:id="288973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4278513">
      <w:bodyDiv w:val="1"/>
      <w:marLeft w:val="0"/>
      <w:marRight w:val="0"/>
      <w:marTop w:val="0"/>
      <w:marBottom w:val="0"/>
      <w:divBdr>
        <w:top w:val="none" w:sz="0" w:space="0" w:color="auto"/>
        <w:left w:val="none" w:sz="0" w:space="0" w:color="auto"/>
        <w:bottom w:val="none" w:sz="0" w:space="0" w:color="auto"/>
        <w:right w:val="none" w:sz="0" w:space="0" w:color="auto"/>
      </w:divBdr>
    </w:div>
    <w:div w:id="845091426">
      <w:bodyDiv w:val="1"/>
      <w:marLeft w:val="0"/>
      <w:marRight w:val="0"/>
      <w:marTop w:val="0"/>
      <w:marBottom w:val="0"/>
      <w:divBdr>
        <w:top w:val="none" w:sz="0" w:space="0" w:color="auto"/>
        <w:left w:val="none" w:sz="0" w:space="0" w:color="auto"/>
        <w:bottom w:val="none" w:sz="0" w:space="0" w:color="auto"/>
        <w:right w:val="none" w:sz="0" w:space="0" w:color="auto"/>
      </w:divBdr>
    </w:div>
    <w:div w:id="1024015275">
      <w:bodyDiv w:val="1"/>
      <w:marLeft w:val="0"/>
      <w:marRight w:val="0"/>
      <w:marTop w:val="0"/>
      <w:marBottom w:val="0"/>
      <w:divBdr>
        <w:top w:val="none" w:sz="0" w:space="0" w:color="auto"/>
        <w:left w:val="none" w:sz="0" w:space="0" w:color="auto"/>
        <w:bottom w:val="none" w:sz="0" w:space="0" w:color="auto"/>
        <w:right w:val="none" w:sz="0" w:space="0" w:color="auto"/>
      </w:divBdr>
    </w:div>
    <w:div w:id="1203863527">
      <w:bodyDiv w:val="1"/>
      <w:marLeft w:val="0"/>
      <w:marRight w:val="0"/>
      <w:marTop w:val="0"/>
      <w:marBottom w:val="0"/>
      <w:divBdr>
        <w:top w:val="none" w:sz="0" w:space="0" w:color="auto"/>
        <w:left w:val="none" w:sz="0" w:space="0" w:color="auto"/>
        <w:bottom w:val="none" w:sz="0" w:space="0" w:color="auto"/>
        <w:right w:val="none" w:sz="0" w:space="0" w:color="auto"/>
      </w:divBdr>
    </w:div>
    <w:div w:id="1305508130">
      <w:bodyDiv w:val="1"/>
      <w:marLeft w:val="0"/>
      <w:marRight w:val="0"/>
      <w:marTop w:val="0"/>
      <w:marBottom w:val="0"/>
      <w:divBdr>
        <w:top w:val="none" w:sz="0" w:space="0" w:color="auto"/>
        <w:left w:val="none" w:sz="0" w:space="0" w:color="auto"/>
        <w:bottom w:val="none" w:sz="0" w:space="0" w:color="auto"/>
        <w:right w:val="none" w:sz="0" w:space="0" w:color="auto"/>
      </w:divBdr>
      <w:divsChild>
        <w:div w:id="1057820935">
          <w:marLeft w:val="0"/>
          <w:marRight w:val="0"/>
          <w:marTop w:val="0"/>
          <w:marBottom w:val="0"/>
          <w:divBdr>
            <w:top w:val="none" w:sz="0" w:space="0" w:color="auto"/>
            <w:left w:val="none" w:sz="0" w:space="0" w:color="auto"/>
            <w:bottom w:val="none" w:sz="0" w:space="0" w:color="auto"/>
            <w:right w:val="none" w:sz="0" w:space="0" w:color="auto"/>
          </w:divBdr>
          <w:divsChild>
            <w:div w:id="1693998258">
              <w:marLeft w:val="0"/>
              <w:marRight w:val="0"/>
              <w:marTop w:val="0"/>
              <w:marBottom w:val="0"/>
              <w:divBdr>
                <w:top w:val="none" w:sz="0" w:space="0" w:color="auto"/>
                <w:left w:val="none" w:sz="0" w:space="0" w:color="auto"/>
                <w:bottom w:val="none" w:sz="0" w:space="0" w:color="auto"/>
                <w:right w:val="none" w:sz="0" w:space="0" w:color="auto"/>
              </w:divBdr>
              <w:divsChild>
                <w:div w:id="2144737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1052412">
      <w:bodyDiv w:val="1"/>
      <w:marLeft w:val="0"/>
      <w:marRight w:val="0"/>
      <w:marTop w:val="0"/>
      <w:marBottom w:val="0"/>
      <w:divBdr>
        <w:top w:val="none" w:sz="0" w:space="0" w:color="auto"/>
        <w:left w:val="none" w:sz="0" w:space="0" w:color="auto"/>
        <w:bottom w:val="none" w:sz="0" w:space="0" w:color="auto"/>
        <w:right w:val="none" w:sz="0" w:space="0" w:color="auto"/>
      </w:divBdr>
    </w:div>
    <w:div w:id="1776944174">
      <w:bodyDiv w:val="1"/>
      <w:marLeft w:val="0"/>
      <w:marRight w:val="0"/>
      <w:marTop w:val="0"/>
      <w:marBottom w:val="0"/>
      <w:divBdr>
        <w:top w:val="none" w:sz="0" w:space="0" w:color="auto"/>
        <w:left w:val="none" w:sz="0" w:space="0" w:color="auto"/>
        <w:bottom w:val="none" w:sz="0" w:space="0" w:color="auto"/>
        <w:right w:val="none" w:sz="0" w:space="0" w:color="auto"/>
      </w:divBdr>
    </w:div>
    <w:div w:id="1917125467">
      <w:bodyDiv w:val="1"/>
      <w:marLeft w:val="0"/>
      <w:marRight w:val="0"/>
      <w:marTop w:val="0"/>
      <w:marBottom w:val="0"/>
      <w:divBdr>
        <w:top w:val="none" w:sz="0" w:space="0" w:color="auto"/>
        <w:left w:val="none" w:sz="0" w:space="0" w:color="auto"/>
        <w:bottom w:val="none" w:sz="0" w:space="0" w:color="auto"/>
        <w:right w:val="none" w:sz="0" w:space="0" w:color="auto"/>
      </w:divBdr>
      <w:divsChild>
        <w:div w:id="512257028">
          <w:marLeft w:val="0"/>
          <w:marRight w:val="0"/>
          <w:marTop w:val="0"/>
          <w:marBottom w:val="0"/>
          <w:divBdr>
            <w:top w:val="none" w:sz="0" w:space="0" w:color="auto"/>
            <w:left w:val="none" w:sz="0" w:space="0" w:color="auto"/>
            <w:bottom w:val="none" w:sz="0" w:space="0" w:color="auto"/>
            <w:right w:val="none" w:sz="0" w:space="0" w:color="auto"/>
          </w:divBdr>
          <w:divsChild>
            <w:div w:id="229657986">
              <w:marLeft w:val="0"/>
              <w:marRight w:val="0"/>
              <w:marTop w:val="0"/>
              <w:marBottom w:val="0"/>
              <w:divBdr>
                <w:top w:val="none" w:sz="0" w:space="0" w:color="auto"/>
                <w:left w:val="none" w:sz="0" w:space="0" w:color="auto"/>
                <w:bottom w:val="none" w:sz="0" w:space="0" w:color="auto"/>
                <w:right w:val="none" w:sz="0" w:space="0" w:color="auto"/>
              </w:divBdr>
              <w:divsChild>
                <w:div w:id="714891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5956887">
      <w:bodyDiv w:val="1"/>
      <w:marLeft w:val="0"/>
      <w:marRight w:val="0"/>
      <w:marTop w:val="0"/>
      <w:marBottom w:val="0"/>
      <w:divBdr>
        <w:top w:val="none" w:sz="0" w:space="0" w:color="auto"/>
        <w:left w:val="none" w:sz="0" w:space="0" w:color="auto"/>
        <w:bottom w:val="none" w:sz="0" w:space="0" w:color="auto"/>
        <w:right w:val="none" w:sz="0" w:space="0" w:color="auto"/>
      </w:divBdr>
    </w:div>
    <w:div w:id="21236482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2101</Words>
  <Characters>11556</Characters>
  <Application>Microsoft Office Word</Application>
  <DocSecurity>0</DocSecurity>
  <Lines>96</Lines>
  <Paragraphs>27</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13630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3</cp:revision>
  <dcterms:created xsi:type="dcterms:W3CDTF">2026-02-12T20:08:00Z</dcterms:created>
  <dcterms:modified xsi:type="dcterms:W3CDTF">2026-02-12T20:32:00Z</dcterms:modified>
</cp:coreProperties>
</file>